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2C1D47">
      <w:pPr>
        <w:spacing w:line="288" w:lineRule="auto"/>
        <w:outlineLvl w:val="9"/>
        <w:rPr>
          <w:rFonts w:hint="default" w:ascii="仿宋" w:hAnsi="仿宋" w:eastAsia="仿宋" w:cs="微软雅黑"/>
          <w:sz w:val="28"/>
          <w:szCs w:val="28"/>
          <w:lang w:val="en-US" w:eastAsia="zh-CN"/>
        </w:rPr>
      </w:pPr>
      <w:bookmarkStart w:id="0" w:name="_Toc20715"/>
      <w:bookmarkStart w:id="1" w:name="_Toc20646"/>
      <w:r>
        <w:rPr>
          <w:rFonts w:hint="eastAsia" w:ascii="仿宋" w:hAnsi="仿宋" w:eastAsia="仿宋" w:cs="微软雅黑"/>
          <w:sz w:val="28"/>
          <w:szCs w:val="28"/>
        </w:rPr>
        <w:t>附件</w:t>
      </w:r>
      <w:r>
        <w:rPr>
          <w:rFonts w:hint="eastAsia" w:ascii="仿宋" w:hAnsi="仿宋" w:eastAsia="仿宋" w:cs="微软雅黑"/>
          <w:sz w:val="28"/>
          <w:szCs w:val="28"/>
          <w:lang w:val="en-US" w:eastAsia="zh-CN"/>
        </w:rPr>
        <w:t>2.1.3</w:t>
      </w:r>
      <w:bookmarkEnd w:id="0"/>
      <w:bookmarkEnd w:id="1"/>
    </w:p>
    <w:p w14:paraId="6FEBEE90">
      <w:pPr>
        <w:spacing w:line="288" w:lineRule="auto"/>
        <w:jc w:val="center"/>
        <w:outlineLvl w:val="9"/>
        <w:rPr>
          <w:rFonts w:hint="eastAsia" w:ascii="微软雅黑" w:hAnsi="仿宋" w:eastAsia="微软雅黑"/>
          <w:szCs w:val="32"/>
        </w:rPr>
      </w:pPr>
      <w:bookmarkStart w:id="2" w:name="_Toc26896"/>
      <w:bookmarkStart w:id="3" w:name="_Toc30164"/>
      <w:r>
        <w:rPr>
          <w:rFonts w:hint="eastAsia" w:ascii="微软雅黑" w:hAnsi="仿宋" w:eastAsia="微软雅黑" w:cs="微软雅黑"/>
          <w:szCs w:val="32"/>
          <w:lang w:val="en-US" w:eastAsia="zh-CN"/>
        </w:rPr>
        <w:t>大数据与会计</w:t>
      </w:r>
      <w:r>
        <w:rPr>
          <w:rFonts w:hint="eastAsia" w:ascii="微软雅黑" w:hAnsi="仿宋" w:eastAsia="微软雅黑" w:cs="微软雅黑"/>
          <w:szCs w:val="32"/>
        </w:rPr>
        <w:t>专业人才培养</w:t>
      </w:r>
      <w:r>
        <w:rPr>
          <w:rFonts w:hint="eastAsia" w:ascii="微软雅黑" w:hAnsi="仿宋" w:eastAsia="微软雅黑"/>
          <w:szCs w:val="32"/>
        </w:rPr>
        <w:t>调研报告</w:t>
      </w:r>
      <w:bookmarkEnd w:id="2"/>
      <w:bookmarkEnd w:id="3"/>
    </w:p>
    <w:p w14:paraId="318E1815">
      <w:pPr>
        <w:pStyle w:val="4"/>
        <w:jc w:val="center"/>
        <w:rPr>
          <w:rFonts w:hint="eastAsia" w:ascii="微软雅黑" w:hAnsi="仿宋" w:eastAsia="微软雅黑"/>
          <w:szCs w:val="32"/>
          <w:lang w:val="en-US" w:eastAsia="zh-CN"/>
        </w:rPr>
      </w:pPr>
      <w:r>
        <w:rPr>
          <w:rFonts w:hint="eastAsia" w:ascii="微软雅黑" w:hAnsi="仿宋" w:eastAsia="微软雅黑"/>
          <w:szCs w:val="32"/>
          <w:lang w:val="en-US" w:eastAsia="zh-CN"/>
        </w:rPr>
        <w:t>（2025版）</w:t>
      </w:r>
    </w:p>
    <w:sdt>
      <w:sdtPr>
        <w:rPr>
          <w:rFonts w:hint="eastAsia" w:ascii="黑体" w:hAnsi="黑体" w:eastAsia="黑体" w:cs="黑体"/>
          <w:kern w:val="2"/>
          <w:sz w:val="30"/>
          <w:szCs w:val="30"/>
          <w:lang w:val="en-US" w:eastAsia="zh-CN" w:bidi="ar-SA"/>
        </w:rPr>
        <w:id w:val="147472089"/>
        <w15:color w:val="DBDBDB"/>
        <w:docPartObj>
          <w:docPartGallery w:val="Table of Contents"/>
          <w:docPartUnique/>
        </w:docPartObj>
      </w:sdtPr>
      <w:sdtEndPr>
        <w:rPr>
          <w:rFonts w:hint="eastAsia" w:ascii="仿宋" w:hAnsi="仿宋" w:eastAsia="仿宋" w:cs="Times New Roman"/>
          <w:bCs/>
          <w:kern w:val="2"/>
          <w:sz w:val="20"/>
          <w:szCs w:val="32"/>
          <w:lang w:val="en-US" w:eastAsia="zh-CN" w:bidi="ar-SA"/>
        </w:rPr>
      </w:sdtEndPr>
      <w:sdtContent>
        <w:p w14:paraId="25264D4F">
          <w:pPr>
            <w:spacing w:before="0" w:beforeLines="0" w:after="0" w:afterLines="0" w:line="240" w:lineRule="auto"/>
            <w:ind w:left="0" w:leftChars="0" w:right="0" w:rightChars="0" w:firstLine="0" w:firstLineChars="0"/>
            <w:jc w:val="center"/>
            <w:rPr>
              <w:rFonts w:hint="eastAsia" w:ascii="黑体" w:hAnsi="黑体" w:eastAsia="黑体" w:cs="黑体"/>
              <w:sz w:val="30"/>
              <w:szCs w:val="30"/>
            </w:rPr>
          </w:pPr>
          <w:r>
            <w:rPr>
              <w:rFonts w:hint="eastAsia" w:ascii="黑体" w:hAnsi="黑体" w:eastAsia="黑体" w:cs="黑体"/>
              <w:sz w:val="30"/>
              <w:szCs w:val="30"/>
            </w:rPr>
            <w:t>目录</w:t>
          </w:r>
        </w:p>
        <w:p w14:paraId="1FB6B508">
          <w:pPr>
            <w:pStyle w:val="7"/>
            <w:tabs>
              <w:tab w:val="right" w:leader="dot" w:pos="8306"/>
            </w:tabs>
            <w:rPr>
              <w:sz w:val="30"/>
              <w:szCs w:val="30"/>
            </w:rPr>
          </w:pPr>
          <w:r>
            <w:rPr>
              <w:rFonts w:hint="eastAsia" w:ascii="仿宋" w:hAnsi="仿宋" w:eastAsia="仿宋" w:cs="Times New Roman"/>
              <w:b/>
              <w:bCs/>
              <w:kern w:val="2"/>
              <w:sz w:val="32"/>
              <w:szCs w:val="32"/>
              <w:lang w:val="en-US" w:eastAsia="zh-CN" w:bidi="ar-SA"/>
            </w:rPr>
            <w:fldChar w:fldCharType="begin"/>
          </w:r>
          <w:r>
            <w:rPr>
              <w:rFonts w:hint="eastAsia" w:ascii="仿宋" w:hAnsi="仿宋" w:eastAsia="仿宋" w:cs="Times New Roman"/>
              <w:b/>
              <w:bCs/>
              <w:kern w:val="2"/>
              <w:sz w:val="32"/>
              <w:szCs w:val="32"/>
              <w:lang w:val="en-US" w:eastAsia="zh-CN" w:bidi="ar-SA"/>
            </w:rPr>
            <w:instrText xml:space="preserve">TOC \o "1-2" \h \u </w:instrText>
          </w:r>
          <w:r>
            <w:rPr>
              <w:rFonts w:hint="eastAsia" w:ascii="仿宋" w:hAnsi="仿宋" w:eastAsia="仿宋" w:cs="Times New Roman"/>
              <w:b/>
              <w:bCs/>
              <w:kern w:val="2"/>
              <w:sz w:val="32"/>
              <w:szCs w:val="32"/>
              <w:lang w:val="en-US" w:eastAsia="zh-CN" w:bidi="ar-SA"/>
            </w:rPr>
            <w:fldChar w:fldCharType="separate"/>
          </w: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_Toc31561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Times New Roman"/>
              <w:bCs/>
              <w:kern w:val="2"/>
              <w:sz w:val="30"/>
              <w:szCs w:val="30"/>
              <w:lang w:val="en-US" w:eastAsia="zh-CN" w:bidi="ar-SA"/>
            </w:rPr>
            <w:t>前言</w:t>
          </w:r>
          <w:r>
            <w:rPr>
              <w:sz w:val="30"/>
              <w:szCs w:val="30"/>
            </w:rPr>
            <w:tab/>
          </w:r>
          <w:r>
            <w:rPr>
              <w:sz w:val="30"/>
              <w:szCs w:val="30"/>
            </w:rPr>
            <w:fldChar w:fldCharType="begin"/>
          </w:r>
          <w:r>
            <w:rPr>
              <w:sz w:val="30"/>
              <w:szCs w:val="30"/>
            </w:rPr>
            <w:instrText xml:space="preserve"> PAGEREF _Toc31561 \h </w:instrText>
          </w:r>
          <w:r>
            <w:rPr>
              <w:sz w:val="30"/>
              <w:szCs w:val="30"/>
            </w:rPr>
            <w:fldChar w:fldCharType="separate"/>
          </w:r>
          <w:r>
            <w:rPr>
              <w:sz w:val="30"/>
              <w:szCs w:val="30"/>
            </w:rPr>
            <w:t>2</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58C4A801">
          <w:pPr>
            <w:pStyle w:val="7"/>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_Toc17998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一、调研目的</w:t>
          </w:r>
          <w:r>
            <w:rPr>
              <w:sz w:val="30"/>
              <w:szCs w:val="30"/>
            </w:rPr>
            <w:tab/>
          </w:r>
          <w:r>
            <w:rPr>
              <w:sz w:val="30"/>
              <w:szCs w:val="30"/>
            </w:rPr>
            <w:fldChar w:fldCharType="begin"/>
          </w:r>
          <w:r>
            <w:rPr>
              <w:sz w:val="30"/>
              <w:szCs w:val="30"/>
            </w:rPr>
            <w:instrText xml:space="preserve"> PAGEREF _Toc17998 \h </w:instrText>
          </w:r>
          <w:r>
            <w:rPr>
              <w:sz w:val="30"/>
              <w:szCs w:val="30"/>
            </w:rPr>
            <w:fldChar w:fldCharType="separate"/>
          </w:r>
          <w:r>
            <w:rPr>
              <w:sz w:val="30"/>
              <w:szCs w:val="30"/>
            </w:rPr>
            <w:t>3</w:t>
          </w:r>
          <w:r>
            <w:rPr>
              <w:sz w:val="30"/>
              <w:szCs w:val="30"/>
            </w:rPr>
            <w:fldChar w:fldCharType="end"/>
          </w:r>
          <w:r>
            <w:rPr>
              <w:rFonts w:hint="eastAsia" w:ascii="仿宋" w:hAnsi="仿宋" w:eastAsia="仿宋" w:cs="Times New Roman"/>
              <w:bCs/>
              <w:kern w:val="2"/>
              <w:sz w:val="30"/>
              <w:szCs w:val="30"/>
              <w:lang w:val="en-US" w:eastAsia="zh-CN" w:bidi="ar-SA"/>
            </w:rPr>
            <w:fldChar w:fldCharType="end"/>
          </w:r>
          <w:bookmarkStart w:id="134" w:name="_GoBack"/>
          <w:bookmarkEnd w:id="134"/>
        </w:p>
        <w:p w14:paraId="6FC19A63">
          <w:pPr>
            <w:pStyle w:val="7"/>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_Toc17221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二、调研时间及对象</w:t>
          </w:r>
          <w:r>
            <w:rPr>
              <w:sz w:val="30"/>
              <w:szCs w:val="30"/>
            </w:rPr>
            <w:tab/>
          </w:r>
          <w:r>
            <w:rPr>
              <w:sz w:val="30"/>
              <w:szCs w:val="30"/>
            </w:rPr>
            <w:fldChar w:fldCharType="begin"/>
          </w:r>
          <w:r>
            <w:rPr>
              <w:sz w:val="30"/>
              <w:szCs w:val="30"/>
            </w:rPr>
            <w:instrText xml:space="preserve"> PAGEREF _Toc17221 \h </w:instrText>
          </w:r>
          <w:r>
            <w:rPr>
              <w:sz w:val="30"/>
              <w:szCs w:val="30"/>
            </w:rPr>
            <w:fldChar w:fldCharType="separate"/>
          </w:r>
          <w:r>
            <w:rPr>
              <w:sz w:val="30"/>
              <w:szCs w:val="30"/>
            </w:rPr>
            <w:t>4</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6E35E027">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_Toc7676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(一)调研时间</w:t>
          </w:r>
          <w:r>
            <w:rPr>
              <w:sz w:val="30"/>
              <w:szCs w:val="30"/>
            </w:rPr>
            <w:tab/>
          </w:r>
          <w:r>
            <w:rPr>
              <w:sz w:val="30"/>
              <w:szCs w:val="30"/>
            </w:rPr>
            <w:fldChar w:fldCharType="begin"/>
          </w:r>
          <w:r>
            <w:rPr>
              <w:sz w:val="30"/>
              <w:szCs w:val="30"/>
            </w:rPr>
            <w:instrText xml:space="preserve"> PAGEREF _Toc7676 \h </w:instrText>
          </w:r>
          <w:r>
            <w:rPr>
              <w:sz w:val="30"/>
              <w:szCs w:val="30"/>
            </w:rPr>
            <w:fldChar w:fldCharType="separate"/>
          </w:r>
          <w:r>
            <w:rPr>
              <w:sz w:val="30"/>
              <w:szCs w:val="30"/>
            </w:rPr>
            <w:t>4</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284E7092">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_Toc5622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(二)调研对象</w:t>
          </w:r>
          <w:r>
            <w:rPr>
              <w:sz w:val="30"/>
              <w:szCs w:val="30"/>
            </w:rPr>
            <w:tab/>
          </w:r>
          <w:r>
            <w:rPr>
              <w:sz w:val="30"/>
              <w:szCs w:val="30"/>
            </w:rPr>
            <w:fldChar w:fldCharType="begin"/>
          </w:r>
          <w:r>
            <w:rPr>
              <w:sz w:val="30"/>
              <w:szCs w:val="30"/>
            </w:rPr>
            <w:instrText xml:space="preserve"> PAGEREF _Toc5622 \h </w:instrText>
          </w:r>
          <w:r>
            <w:rPr>
              <w:sz w:val="30"/>
              <w:szCs w:val="30"/>
            </w:rPr>
            <w:fldChar w:fldCharType="separate"/>
          </w:r>
          <w:r>
            <w:rPr>
              <w:sz w:val="30"/>
              <w:szCs w:val="30"/>
            </w:rPr>
            <w:t>4</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265A5BED">
          <w:pPr>
            <w:pStyle w:val="7"/>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_Toc24279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三、调研内容</w:t>
          </w:r>
          <w:r>
            <w:rPr>
              <w:sz w:val="30"/>
              <w:szCs w:val="30"/>
            </w:rPr>
            <w:tab/>
          </w:r>
          <w:r>
            <w:rPr>
              <w:sz w:val="30"/>
              <w:szCs w:val="30"/>
            </w:rPr>
            <w:fldChar w:fldCharType="begin"/>
          </w:r>
          <w:r>
            <w:rPr>
              <w:sz w:val="30"/>
              <w:szCs w:val="30"/>
            </w:rPr>
            <w:instrText xml:space="preserve"> PAGEREF _Toc24279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4361EE7F">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_Toc22073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（一）行业企业的人才需求及职业面向的典型工作任务及技能要求。</w:t>
          </w:r>
          <w:r>
            <w:rPr>
              <w:sz w:val="30"/>
              <w:szCs w:val="30"/>
            </w:rPr>
            <w:tab/>
          </w:r>
          <w:r>
            <w:rPr>
              <w:sz w:val="30"/>
              <w:szCs w:val="30"/>
            </w:rPr>
            <w:fldChar w:fldCharType="begin"/>
          </w:r>
          <w:r>
            <w:rPr>
              <w:sz w:val="30"/>
              <w:szCs w:val="30"/>
            </w:rPr>
            <w:instrText xml:space="preserve"> PAGEREF _Toc22073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2B3F3364">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_Toc3252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（二）毕业生生涯发展路径状况</w:t>
          </w:r>
          <w:r>
            <w:rPr>
              <w:sz w:val="30"/>
              <w:szCs w:val="30"/>
            </w:rPr>
            <w:tab/>
          </w:r>
          <w:r>
            <w:rPr>
              <w:sz w:val="30"/>
              <w:szCs w:val="30"/>
            </w:rPr>
            <w:fldChar w:fldCharType="begin"/>
          </w:r>
          <w:r>
            <w:rPr>
              <w:sz w:val="30"/>
              <w:szCs w:val="30"/>
            </w:rPr>
            <w:instrText xml:space="preserve"> PAGEREF _Toc3252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382DF0EE">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_Toc6990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（三）在校生对课程设置教学的意见</w:t>
          </w:r>
          <w:r>
            <w:rPr>
              <w:sz w:val="30"/>
              <w:szCs w:val="30"/>
            </w:rPr>
            <w:tab/>
          </w:r>
          <w:r>
            <w:rPr>
              <w:sz w:val="30"/>
              <w:szCs w:val="30"/>
            </w:rPr>
            <w:fldChar w:fldCharType="begin"/>
          </w:r>
          <w:r>
            <w:rPr>
              <w:sz w:val="30"/>
              <w:szCs w:val="30"/>
            </w:rPr>
            <w:instrText xml:space="preserve"> PAGEREF _Toc6990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7852829F">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_Toc397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（四）普通本科人才培养方案编制状况</w:t>
          </w:r>
          <w:r>
            <w:rPr>
              <w:sz w:val="30"/>
              <w:szCs w:val="30"/>
            </w:rPr>
            <w:tab/>
          </w:r>
          <w:r>
            <w:rPr>
              <w:sz w:val="30"/>
              <w:szCs w:val="30"/>
            </w:rPr>
            <w:fldChar w:fldCharType="begin"/>
          </w:r>
          <w:r>
            <w:rPr>
              <w:sz w:val="30"/>
              <w:szCs w:val="30"/>
            </w:rPr>
            <w:instrText xml:space="preserve"> PAGEREF _Toc397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487086D5">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_Toc24607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（五）高水平职业院校人才培养方案编制状况</w:t>
          </w:r>
          <w:r>
            <w:rPr>
              <w:sz w:val="30"/>
              <w:szCs w:val="30"/>
            </w:rPr>
            <w:tab/>
          </w:r>
          <w:r>
            <w:rPr>
              <w:sz w:val="30"/>
              <w:szCs w:val="30"/>
            </w:rPr>
            <w:fldChar w:fldCharType="begin"/>
          </w:r>
          <w:r>
            <w:rPr>
              <w:sz w:val="30"/>
              <w:szCs w:val="30"/>
            </w:rPr>
            <w:instrText xml:space="preserve"> PAGEREF _Toc24607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50FC7C84">
          <w:pPr>
            <w:pStyle w:val="7"/>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_Toc31276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lang w:val="en-US" w:eastAsia="zh-CN"/>
            </w:rPr>
            <w:t>四</w:t>
          </w:r>
          <w:r>
            <w:rPr>
              <w:rFonts w:hint="eastAsia" w:ascii="仿宋" w:hAnsi="仿宋" w:eastAsia="仿宋"/>
              <w:sz w:val="30"/>
              <w:szCs w:val="30"/>
            </w:rPr>
            <w:t>、调研方式方法</w:t>
          </w:r>
          <w:r>
            <w:rPr>
              <w:sz w:val="30"/>
              <w:szCs w:val="30"/>
            </w:rPr>
            <w:tab/>
          </w:r>
          <w:r>
            <w:rPr>
              <w:sz w:val="30"/>
              <w:szCs w:val="30"/>
            </w:rPr>
            <w:fldChar w:fldCharType="begin"/>
          </w:r>
          <w:r>
            <w:rPr>
              <w:sz w:val="30"/>
              <w:szCs w:val="30"/>
            </w:rPr>
            <w:instrText xml:space="preserve"> PAGEREF _Toc31276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0C722A5B">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_Toc3497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（一）问卷调查</w:t>
          </w:r>
          <w:r>
            <w:rPr>
              <w:sz w:val="30"/>
              <w:szCs w:val="30"/>
            </w:rPr>
            <w:tab/>
          </w:r>
          <w:r>
            <w:rPr>
              <w:sz w:val="30"/>
              <w:szCs w:val="30"/>
            </w:rPr>
            <w:fldChar w:fldCharType="begin"/>
          </w:r>
          <w:r>
            <w:rPr>
              <w:sz w:val="30"/>
              <w:szCs w:val="30"/>
            </w:rPr>
            <w:instrText xml:space="preserve"> PAGEREF _Toc3497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2B5E7CE2">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_Toc25975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lang w:eastAsia="zh-CN"/>
            </w:rPr>
            <w:t>（</w:t>
          </w:r>
          <w:r>
            <w:rPr>
              <w:rFonts w:hint="eastAsia" w:ascii="仿宋" w:hAnsi="仿宋" w:eastAsia="仿宋"/>
              <w:sz w:val="30"/>
              <w:szCs w:val="30"/>
              <w:lang w:val="en-US" w:eastAsia="zh-CN"/>
            </w:rPr>
            <w:t>二</w:t>
          </w:r>
          <w:r>
            <w:rPr>
              <w:rFonts w:hint="eastAsia" w:ascii="仿宋" w:hAnsi="仿宋" w:eastAsia="仿宋"/>
              <w:sz w:val="30"/>
              <w:szCs w:val="30"/>
              <w:lang w:eastAsia="zh-CN"/>
            </w:rPr>
            <w:t>）</w:t>
          </w:r>
          <w:r>
            <w:rPr>
              <w:rFonts w:hint="eastAsia" w:ascii="仿宋" w:hAnsi="仿宋" w:eastAsia="仿宋"/>
              <w:sz w:val="30"/>
              <w:szCs w:val="30"/>
            </w:rPr>
            <w:t>网络查询</w:t>
          </w:r>
          <w:r>
            <w:rPr>
              <w:sz w:val="30"/>
              <w:szCs w:val="30"/>
            </w:rPr>
            <w:tab/>
          </w:r>
          <w:r>
            <w:rPr>
              <w:sz w:val="30"/>
              <w:szCs w:val="30"/>
            </w:rPr>
            <w:fldChar w:fldCharType="begin"/>
          </w:r>
          <w:r>
            <w:rPr>
              <w:sz w:val="30"/>
              <w:szCs w:val="30"/>
            </w:rPr>
            <w:instrText xml:space="preserve"> PAGEREF _Toc25975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04F97C2A">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_Toc16817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lang w:eastAsia="zh-CN"/>
            </w:rPr>
            <w:t>（三） 查阅文献</w:t>
          </w:r>
          <w:r>
            <w:rPr>
              <w:sz w:val="30"/>
              <w:szCs w:val="30"/>
            </w:rPr>
            <w:tab/>
          </w:r>
          <w:r>
            <w:rPr>
              <w:sz w:val="30"/>
              <w:szCs w:val="30"/>
            </w:rPr>
            <w:fldChar w:fldCharType="begin"/>
          </w:r>
          <w:r>
            <w:rPr>
              <w:sz w:val="30"/>
              <w:szCs w:val="30"/>
            </w:rPr>
            <w:instrText xml:space="preserve"> PAGEREF _Toc16817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238940DF">
          <w:pPr>
            <w:pStyle w:val="7"/>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_Toc29380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lang w:val="en-US" w:eastAsia="zh-CN"/>
            </w:rPr>
            <w:t>五</w:t>
          </w:r>
          <w:r>
            <w:rPr>
              <w:rFonts w:hint="eastAsia" w:ascii="仿宋" w:hAnsi="仿宋" w:eastAsia="仿宋"/>
              <w:sz w:val="30"/>
              <w:szCs w:val="30"/>
            </w:rPr>
            <w:t>、调研结果分析</w:t>
          </w:r>
          <w:r>
            <w:rPr>
              <w:sz w:val="30"/>
              <w:szCs w:val="30"/>
            </w:rPr>
            <w:tab/>
          </w:r>
          <w:r>
            <w:rPr>
              <w:sz w:val="30"/>
              <w:szCs w:val="30"/>
            </w:rPr>
            <w:fldChar w:fldCharType="begin"/>
          </w:r>
          <w:r>
            <w:rPr>
              <w:sz w:val="30"/>
              <w:szCs w:val="30"/>
            </w:rPr>
            <w:instrText xml:space="preserve"> PAGEREF _Toc29380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421A9DAC">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_Toc31796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lang w:eastAsia="zh-CN"/>
            </w:rPr>
            <w:t>（</w:t>
          </w:r>
          <w:r>
            <w:rPr>
              <w:rFonts w:hint="eastAsia" w:ascii="仿宋" w:hAnsi="仿宋" w:eastAsia="仿宋"/>
              <w:sz w:val="30"/>
              <w:szCs w:val="30"/>
              <w:lang w:val="en-US" w:eastAsia="zh-CN"/>
            </w:rPr>
            <w:t>一</w:t>
          </w:r>
          <w:r>
            <w:rPr>
              <w:rFonts w:hint="eastAsia" w:ascii="仿宋" w:hAnsi="仿宋" w:eastAsia="仿宋"/>
              <w:sz w:val="30"/>
              <w:szCs w:val="30"/>
              <w:lang w:eastAsia="zh-CN"/>
            </w:rPr>
            <w:t>）</w:t>
          </w:r>
          <w:r>
            <w:rPr>
              <w:rFonts w:hint="eastAsia" w:ascii="仿宋" w:hAnsi="仿宋" w:eastAsia="仿宋"/>
              <w:sz w:val="30"/>
              <w:szCs w:val="30"/>
              <w:lang w:val="en-US" w:eastAsia="zh-CN"/>
            </w:rPr>
            <w:t>专业面向产业的发展现状及趋势</w:t>
          </w:r>
          <w:r>
            <w:rPr>
              <w:sz w:val="30"/>
              <w:szCs w:val="30"/>
            </w:rPr>
            <w:tab/>
          </w:r>
          <w:r>
            <w:rPr>
              <w:sz w:val="30"/>
              <w:szCs w:val="30"/>
            </w:rPr>
            <w:fldChar w:fldCharType="begin"/>
          </w:r>
          <w:r>
            <w:rPr>
              <w:sz w:val="30"/>
              <w:szCs w:val="30"/>
            </w:rPr>
            <w:instrText xml:space="preserve"> PAGEREF _Toc31796 \h </w:instrText>
          </w:r>
          <w:r>
            <w:rPr>
              <w:sz w:val="30"/>
              <w:szCs w:val="30"/>
            </w:rPr>
            <w:fldChar w:fldCharType="separate"/>
          </w:r>
          <w:r>
            <w:rPr>
              <w:sz w:val="30"/>
              <w:szCs w:val="30"/>
            </w:rPr>
            <w:t>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39EED6F0">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_Toc28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sz w:val="30"/>
              <w:szCs w:val="30"/>
            </w:rPr>
            <w:t>（</w:t>
          </w:r>
          <w:r>
            <w:rPr>
              <w:rFonts w:hint="eastAsia" w:ascii="仿宋" w:hAnsi="仿宋" w:eastAsia="仿宋"/>
              <w:sz w:val="30"/>
              <w:szCs w:val="30"/>
              <w:lang w:val="en-US" w:eastAsia="zh-CN"/>
            </w:rPr>
            <w:t>二</w:t>
          </w:r>
          <w:r>
            <w:rPr>
              <w:rFonts w:hint="eastAsia" w:ascii="仿宋" w:hAnsi="仿宋" w:eastAsia="仿宋"/>
              <w:sz w:val="30"/>
              <w:szCs w:val="30"/>
            </w:rPr>
            <w:t>）行业企业需求</w:t>
          </w:r>
          <w:r>
            <w:rPr>
              <w:sz w:val="30"/>
              <w:szCs w:val="30"/>
            </w:rPr>
            <w:tab/>
          </w:r>
          <w:r>
            <w:rPr>
              <w:sz w:val="30"/>
              <w:szCs w:val="30"/>
            </w:rPr>
            <w:fldChar w:fldCharType="begin"/>
          </w:r>
          <w:r>
            <w:rPr>
              <w:sz w:val="30"/>
              <w:szCs w:val="30"/>
            </w:rPr>
            <w:instrText xml:space="preserve"> PAGEREF _Toc28 \h </w:instrText>
          </w:r>
          <w:r>
            <w:rPr>
              <w:sz w:val="30"/>
              <w:szCs w:val="30"/>
            </w:rPr>
            <w:fldChar w:fldCharType="separate"/>
          </w:r>
          <w:r>
            <w:rPr>
              <w:sz w:val="30"/>
              <w:szCs w:val="30"/>
            </w:rPr>
            <w:t>9</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76D47074">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_Toc28970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（二） 毕业生的建议</w:t>
          </w:r>
          <w:r>
            <w:rPr>
              <w:sz w:val="30"/>
              <w:szCs w:val="30"/>
            </w:rPr>
            <w:tab/>
          </w:r>
          <w:r>
            <w:rPr>
              <w:sz w:val="30"/>
              <w:szCs w:val="30"/>
            </w:rPr>
            <w:fldChar w:fldCharType="begin"/>
          </w:r>
          <w:r>
            <w:rPr>
              <w:sz w:val="30"/>
              <w:szCs w:val="30"/>
            </w:rPr>
            <w:instrText xml:space="preserve"> PAGEREF _Toc28970 \h </w:instrText>
          </w:r>
          <w:r>
            <w:rPr>
              <w:sz w:val="30"/>
              <w:szCs w:val="30"/>
            </w:rPr>
            <w:fldChar w:fldCharType="separate"/>
          </w:r>
          <w:r>
            <w:rPr>
              <w:sz w:val="30"/>
              <w:szCs w:val="30"/>
            </w:rPr>
            <w:t>12</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6A1DA460">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_Toc20319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（三）在校生的建议</w:t>
          </w:r>
          <w:r>
            <w:rPr>
              <w:sz w:val="30"/>
              <w:szCs w:val="30"/>
            </w:rPr>
            <w:tab/>
          </w:r>
          <w:r>
            <w:rPr>
              <w:sz w:val="30"/>
              <w:szCs w:val="30"/>
            </w:rPr>
            <w:fldChar w:fldCharType="begin"/>
          </w:r>
          <w:r>
            <w:rPr>
              <w:sz w:val="30"/>
              <w:szCs w:val="30"/>
            </w:rPr>
            <w:instrText xml:space="preserve"> PAGEREF _Toc20319 \h </w:instrText>
          </w:r>
          <w:r>
            <w:rPr>
              <w:sz w:val="30"/>
              <w:szCs w:val="30"/>
            </w:rPr>
            <w:fldChar w:fldCharType="separate"/>
          </w:r>
          <w:r>
            <w:rPr>
              <w:sz w:val="30"/>
              <w:szCs w:val="30"/>
            </w:rPr>
            <w:t>16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55B623CE">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_Toc27031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（四）中职人培方案分析</w:t>
          </w:r>
          <w:r>
            <w:rPr>
              <w:sz w:val="30"/>
              <w:szCs w:val="30"/>
            </w:rPr>
            <w:tab/>
          </w:r>
          <w:r>
            <w:rPr>
              <w:sz w:val="30"/>
              <w:szCs w:val="30"/>
            </w:rPr>
            <w:fldChar w:fldCharType="begin"/>
          </w:r>
          <w:r>
            <w:rPr>
              <w:sz w:val="30"/>
              <w:szCs w:val="30"/>
            </w:rPr>
            <w:instrText xml:space="preserve"> PAGEREF _Toc27031 \h </w:instrText>
          </w:r>
          <w:r>
            <w:rPr>
              <w:sz w:val="30"/>
              <w:szCs w:val="30"/>
            </w:rPr>
            <w:fldChar w:fldCharType="separate"/>
          </w:r>
          <w:r>
            <w:rPr>
              <w:sz w:val="30"/>
              <w:szCs w:val="30"/>
            </w:rPr>
            <w:t>20</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399703EF">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_Toc24985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（五）高水平职业院校人才培养方案分析</w:t>
          </w:r>
          <w:r>
            <w:rPr>
              <w:sz w:val="30"/>
              <w:szCs w:val="30"/>
            </w:rPr>
            <w:tab/>
          </w:r>
          <w:r>
            <w:rPr>
              <w:sz w:val="30"/>
              <w:szCs w:val="30"/>
            </w:rPr>
            <w:fldChar w:fldCharType="begin"/>
          </w:r>
          <w:r>
            <w:rPr>
              <w:sz w:val="30"/>
              <w:szCs w:val="30"/>
            </w:rPr>
            <w:instrText xml:space="preserve"> PAGEREF _Toc24985 \h </w:instrText>
          </w:r>
          <w:r>
            <w:rPr>
              <w:sz w:val="30"/>
              <w:szCs w:val="30"/>
            </w:rPr>
            <w:fldChar w:fldCharType="separate"/>
          </w:r>
          <w:r>
            <w:rPr>
              <w:sz w:val="30"/>
              <w:szCs w:val="30"/>
            </w:rPr>
            <w:t>25</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063494A0">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_Toc13829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（六）职业本科人才培养方案的分析</w:t>
          </w:r>
          <w:r>
            <w:rPr>
              <w:sz w:val="30"/>
              <w:szCs w:val="30"/>
            </w:rPr>
            <w:tab/>
          </w:r>
          <w:r>
            <w:rPr>
              <w:sz w:val="30"/>
              <w:szCs w:val="30"/>
            </w:rPr>
            <w:fldChar w:fldCharType="begin"/>
          </w:r>
          <w:r>
            <w:rPr>
              <w:sz w:val="30"/>
              <w:szCs w:val="30"/>
            </w:rPr>
            <w:instrText xml:space="preserve"> PAGEREF _Toc13829 \h </w:instrText>
          </w:r>
          <w:r>
            <w:rPr>
              <w:sz w:val="30"/>
              <w:szCs w:val="30"/>
            </w:rPr>
            <w:fldChar w:fldCharType="separate"/>
          </w:r>
          <w:r>
            <w:rPr>
              <w:sz w:val="30"/>
              <w:szCs w:val="30"/>
            </w:rPr>
            <w:t>37</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121B4619">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_Toc4631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（七） 职业本科、中职、高职人才培养方案对比分析</w:t>
          </w:r>
          <w:r>
            <w:rPr>
              <w:sz w:val="30"/>
              <w:szCs w:val="30"/>
            </w:rPr>
            <w:tab/>
          </w:r>
          <w:r>
            <w:rPr>
              <w:sz w:val="30"/>
              <w:szCs w:val="30"/>
            </w:rPr>
            <w:fldChar w:fldCharType="begin"/>
          </w:r>
          <w:r>
            <w:rPr>
              <w:sz w:val="30"/>
              <w:szCs w:val="30"/>
            </w:rPr>
            <w:instrText xml:space="preserve"> PAGEREF _Toc4631 \h </w:instrText>
          </w:r>
          <w:r>
            <w:rPr>
              <w:sz w:val="30"/>
              <w:szCs w:val="30"/>
            </w:rPr>
            <w:fldChar w:fldCharType="separate"/>
          </w:r>
          <w:r>
            <w:rPr>
              <w:sz w:val="30"/>
              <w:szCs w:val="30"/>
            </w:rPr>
            <w:t>41</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1E828723">
          <w:pPr>
            <w:pStyle w:val="7"/>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_Toc1492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六、</w:t>
          </w:r>
          <w:r>
            <w:rPr>
              <w:rFonts w:hint="eastAsia" w:ascii="仿宋" w:hAnsi="仿宋" w:eastAsia="仿宋" w:cs="仿宋"/>
              <w:sz w:val="30"/>
              <w:szCs w:val="30"/>
            </w:rPr>
            <w:t>调研结论及对策</w:t>
          </w:r>
          <w:r>
            <w:rPr>
              <w:sz w:val="30"/>
              <w:szCs w:val="30"/>
            </w:rPr>
            <w:tab/>
          </w:r>
          <w:r>
            <w:rPr>
              <w:sz w:val="30"/>
              <w:szCs w:val="30"/>
            </w:rPr>
            <w:fldChar w:fldCharType="begin"/>
          </w:r>
          <w:r>
            <w:rPr>
              <w:sz w:val="30"/>
              <w:szCs w:val="30"/>
            </w:rPr>
            <w:instrText xml:space="preserve"> PAGEREF _Toc1492 \h </w:instrText>
          </w:r>
          <w:r>
            <w:rPr>
              <w:sz w:val="30"/>
              <w:szCs w:val="30"/>
            </w:rPr>
            <w:fldChar w:fldCharType="separate"/>
          </w:r>
          <w:r>
            <w:rPr>
              <w:sz w:val="30"/>
              <w:szCs w:val="30"/>
            </w:rPr>
            <w:t>44</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3445B169">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_Toc5874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（一） 专业培养目标</w:t>
          </w:r>
          <w:r>
            <w:rPr>
              <w:sz w:val="30"/>
              <w:szCs w:val="30"/>
            </w:rPr>
            <w:tab/>
          </w:r>
          <w:r>
            <w:rPr>
              <w:sz w:val="30"/>
              <w:szCs w:val="30"/>
            </w:rPr>
            <w:fldChar w:fldCharType="begin"/>
          </w:r>
          <w:r>
            <w:rPr>
              <w:sz w:val="30"/>
              <w:szCs w:val="30"/>
            </w:rPr>
            <w:instrText xml:space="preserve"> PAGEREF _Toc5874 \h </w:instrText>
          </w:r>
          <w:r>
            <w:rPr>
              <w:sz w:val="30"/>
              <w:szCs w:val="30"/>
            </w:rPr>
            <w:fldChar w:fldCharType="separate"/>
          </w:r>
          <w:r>
            <w:rPr>
              <w:sz w:val="30"/>
              <w:szCs w:val="30"/>
            </w:rPr>
            <w:t>46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161A5766">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_Toc20999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（二） 专业岗位定位</w:t>
          </w:r>
          <w:r>
            <w:rPr>
              <w:sz w:val="30"/>
              <w:szCs w:val="30"/>
            </w:rPr>
            <w:tab/>
          </w:r>
          <w:r>
            <w:rPr>
              <w:sz w:val="30"/>
              <w:szCs w:val="30"/>
            </w:rPr>
            <w:fldChar w:fldCharType="begin"/>
          </w:r>
          <w:r>
            <w:rPr>
              <w:sz w:val="30"/>
              <w:szCs w:val="30"/>
            </w:rPr>
            <w:instrText xml:space="preserve"> PAGEREF _Toc20999 \h </w:instrText>
          </w:r>
          <w:r>
            <w:rPr>
              <w:sz w:val="30"/>
              <w:szCs w:val="30"/>
            </w:rPr>
            <w:fldChar w:fldCharType="separate"/>
          </w:r>
          <w:r>
            <w:rPr>
              <w:sz w:val="30"/>
              <w:szCs w:val="30"/>
            </w:rPr>
            <w:t>46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51FF9EAD">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_Toc31535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（三） 专业核心能力</w:t>
          </w:r>
          <w:r>
            <w:rPr>
              <w:sz w:val="30"/>
              <w:szCs w:val="30"/>
            </w:rPr>
            <w:tab/>
          </w:r>
          <w:r>
            <w:rPr>
              <w:sz w:val="30"/>
              <w:szCs w:val="30"/>
            </w:rPr>
            <w:fldChar w:fldCharType="begin"/>
          </w:r>
          <w:r>
            <w:rPr>
              <w:sz w:val="30"/>
              <w:szCs w:val="30"/>
            </w:rPr>
            <w:instrText xml:space="preserve"> PAGEREF _Toc31535 \h </w:instrText>
          </w:r>
          <w:r>
            <w:rPr>
              <w:sz w:val="30"/>
              <w:szCs w:val="30"/>
            </w:rPr>
            <w:fldChar w:fldCharType="separate"/>
          </w:r>
          <w:r>
            <w:rPr>
              <w:sz w:val="30"/>
              <w:szCs w:val="30"/>
            </w:rPr>
            <w:t>46</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1D34242E">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_Toc16242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（四） 专业课程设置</w:t>
          </w:r>
          <w:r>
            <w:rPr>
              <w:sz w:val="30"/>
              <w:szCs w:val="30"/>
            </w:rPr>
            <w:tab/>
          </w:r>
          <w:r>
            <w:rPr>
              <w:sz w:val="30"/>
              <w:szCs w:val="30"/>
            </w:rPr>
            <w:fldChar w:fldCharType="begin"/>
          </w:r>
          <w:r>
            <w:rPr>
              <w:sz w:val="30"/>
              <w:szCs w:val="30"/>
            </w:rPr>
            <w:instrText xml:space="preserve"> PAGEREF _Toc16242 \h </w:instrText>
          </w:r>
          <w:r>
            <w:rPr>
              <w:sz w:val="30"/>
              <w:szCs w:val="30"/>
            </w:rPr>
            <w:fldChar w:fldCharType="separate"/>
          </w:r>
          <w:r>
            <w:rPr>
              <w:sz w:val="30"/>
              <w:szCs w:val="30"/>
            </w:rPr>
            <w:t>47</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7488F1AB">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_Toc1702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（五）实践教学体系</w:t>
          </w:r>
          <w:r>
            <w:rPr>
              <w:sz w:val="30"/>
              <w:szCs w:val="30"/>
            </w:rPr>
            <w:tab/>
          </w:r>
          <w:r>
            <w:rPr>
              <w:sz w:val="30"/>
              <w:szCs w:val="30"/>
            </w:rPr>
            <w:fldChar w:fldCharType="begin"/>
          </w:r>
          <w:r>
            <w:rPr>
              <w:sz w:val="30"/>
              <w:szCs w:val="30"/>
            </w:rPr>
            <w:instrText xml:space="preserve"> PAGEREF _Toc1702 \h </w:instrText>
          </w:r>
          <w:r>
            <w:rPr>
              <w:sz w:val="30"/>
              <w:szCs w:val="30"/>
            </w:rPr>
            <w:fldChar w:fldCharType="separate"/>
          </w:r>
          <w:r>
            <w:rPr>
              <w:sz w:val="30"/>
              <w:szCs w:val="30"/>
            </w:rPr>
            <w:t>49</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136C04EC">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_Toc15231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（六）毕业要求</w:t>
          </w:r>
          <w:r>
            <w:rPr>
              <w:sz w:val="30"/>
              <w:szCs w:val="30"/>
            </w:rPr>
            <w:tab/>
          </w:r>
          <w:r>
            <w:rPr>
              <w:sz w:val="30"/>
              <w:szCs w:val="30"/>
            </w:rPr>
            <w:fldChar w:fldCharType="begin"/>
          </w:r>
          <w:r>
            <w:rPr>
              <w:sz w:val="30"/>
              <w:szCs w:val="30"/>
            </w:rPr>
            <w:instrText xml:space="preserve"> PAGEREF _Toc15231 \h </w:instrText>
          </w:r>
          <w:r>
            <w:rPr>
              <w:sz w:val="30"/>
              <w:szCs w:val="30"/>
            </w:rPr>
            <w:fldChar w:fldCharType="separate"/>
          </w:r>
          <w:r>
            <w:rPr>
              <w:sz w:val="30"/>
              <w:szCs w:val="30"/>
            </w:rPr>
            <w:t>50</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589DBC6A">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_Toc27208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（七）师资队伍</w:t>
          </w:r>
          <w:r>
            <w:rPr>
              <w:sz w:val="30"/>
              <w:szCs w:val="30"/>
            </w:rPr>
            <w:tab/>
          </w:r>
          <w:r>
            <w:rPr>
              <w:sz w:val="30"/>
              <w:szCs w:val="30"/>
            </w:rPr>
            <w:fldChar w:fldCharType="begin"/>
          </w:r>
          <w:r>
            <w:rPr>
              <w:sz w:val="30"/>
              <w:szCs w:val="30"/>
            </w:rPr>
            <w:instrText xml:space="preserve"> PAGEREF _Toc27208 \h </w:instrText>
          </w:r>
          <w:r>
            <w:rPr>
              <w:sz w:val="30"/>
              <w:szCs w:val="30"/>
            </w:rPr>
            <w:fldChar w:fldCharType="separate"/>
          </w:r>
          <w:r>
            <w:rPr>
              <w:sz w:val="30"/>
              <w:szCs w:val="30"/>
            </w:rPr>
            <w:t>51</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4FC4E3F9">
          <w:pPr>
            <w:pStyle w:val="8"/>
            <w:tabs>
              <w:tab w:val="right" w:leader="dot" w:pos="8306"/>
            </w:tabs>
            <w:rPr>
              <w:sz w:val="30"/>
              <w:szCs w:val="30"/>
            </w:rPr>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_Toc28636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（八）教学条件</w:t>
          </w:r>
          <w:r>
            <w:rPr>
              <w:sz w:val="30"/>
              <w:szCs w:val="30"/>
            </w:rPr>
            <w:tab/>
          </w:r>
          <w:r>
            <w:rPr>
              <w:sz w:val="30"/>
              <w:szCs w:val="30"/>
            </w:rPr>
            <w:fldChar w:fldCharType="begin"/>
          </w:r>
          <w:r>
            <w:rPr>
              <w:sz w:val="30"/>
              <w:szCs w:val="30"/>
            </w:rPr>
            <w:instrText xml:space="preserve"> PAGEREF _Toc28636 \h </w:instrText>
          </w:r>
          <w:r>
            <w:rPr>
              <w:sz w:val="30"/>
              <w:szCs w:val="30"/>
            </w:rPr>
            <w:fldChar w:fldCharType="separate"/>
          </w:r>
          <w:r>
            <w:rPr>
              <w:sz w:val="30"/>
              <w:szCs w:val="30"/>
            </w:rPr>
            <w:t>51</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2CD6A5CB">
          <w:pPr>
            <w:pStyle w:val="8"/>
            <w:tabs>
              <w:tab w:val="right" w:leader="dot" w:pos="8306"/>
            </w:tabs>
          </w:pPr>
          <w:r>
            <w:rPr>
              <w:rFonts w:hint="eastAsia" w:ascii="仿宋" w:hAnsi="仿宋" w:eastAsia="仿宋" w:cs="Times New Roman"/>
              <w:bCs/>
              <w:kern w:val="2"/>
              <w:sz w:val="30"/>
              <w:szCs w:val="30"/>
              <w:lang w:val="en-US" w:eastAsia="zh-CN" w:bidi="ar-SA"/>
            </w:rPr>
            <w:fldChar w:fldCharType="begin"/>
          </w:r>
          <w:r>
            <w:rPr>
              <w:rFonts w:hint="eastAsia" w:ascii="仿宋" w:hAnsi="仿宋" w:eastAsia="仿宋" w:cs="Times New Roman"/>
              <w:bCs/>
              <w:kern w:val="2"/>
              <w:sz w:val="30"/>
              <w:szCs w:val="30"/>
              <w:lang w:val="en-US" w:eastAsia="zh-CN" w:bidi="ar-SA"/>
            </w:rPr>
            <w:instrText xml:space="preserve"> HYPERLINK \l _Toc31622 </w:instrText>
          </w:r>
          <w:r>
            <w:rPr>
              <w:rFonts w:hint="eastAsia" w:ascii="仿宋" w:hAnsi="仿宋" w:eastAsia="仿宋" w:cs="Times New Roman"/>
              <w:bCs/>
              <w:kern w:val="2"/>
              <w:sz w:val="30"/>
              <w:szCs w:val="30"/>
              <w:lang w:val="en-US" w:eastAsia="zh-CN" w:bidi="ar-SA"/>
            </w:rPr>
            <w:fldChar w:fldCharType="separate"/>
          </w:r>
          <w:r>
            <w:rPr>
              <w:rFonts w:hint="eastAsia" w:ascii="仿宋" w:hAnsi="仿宋" w:eastAsia="仿宋" w:cs="仿宋"/>
              <w:sz w:val="30"/>
              <w:szCs w:val="30"/>
              <w:lang w:val="en-US" w:eastAsia="zh-CN"/>
            </w:rPr>
            <w:t>（九）质量保证</w:t>
          </w:r>
          <w:r>
            <w:rPr>
              <w:sz w:val="30"/>
              <w:szCs w:val="30"/>
            </w:rPr>
            <w:tab/>
          </w:r>
          <w:r>
            <w:rPr>
              <w:sz w:val="30"/>
              <w:szCs w:val="30"/>
            </w:rPr>
            <w:fldChar w:fldCharType="begin"/>
          </w:r>
          <w:r>
            <w:rPr>
              <w:sz w:val="30"/>
              <w:szCs w:val="30"/>
            </w:rPr>
            <w:instrText xml:space="preserve"> PAGEREF _Toc31622 \h </w:instrText>
          </w:r>
          <w:r>
            <w:rPr>
              <w:sz w:val="30"/>
              <w:szCs w:val="30"/>
            </w:rPr>
            <w:fldChar w:fldCharType="separate"/>
          </w:r>
          <w:r>
            <w:rPr>
              <w:sz w:val="30"/>
              <w:szCs w:val="30"/>
            </w:rPr>
            <w:t>52</w:t>
          </w:r>
          <w:r>
            <w:rPr>
              <w:sz w:val="30"/>
              <w:szCs w:val="30"/>
            </w:rPr>
            <w:fldChar w:fldCharType="end"/>
          </w:r>
          <w:r>
            <w:rPr>
              <w:rFonts w:hint="eastAsia" w:ascii="仿宋" w:hAnsi="仿宋" w:eastAsia="仿宋" w:cs="Times New Roman"/>
              <w:bCs/>
              <w:kern w:val="2"/>
              <w:sz w:val="30"/>
              <w:szCs w:val="30"/>
              <w:lang w:val="en-US" w:eastAsia="zh-CN" w:bidi="ar-SA"/>
            </w:rPr>
            <w:fldChar w:fldCharType="end"/>
          </w:r>
        </w:p>
        <w:p w14:paraId="7057EC9E">
          <w:pPr>
            <w:pStyle w:val="4"/>
            <w:ind w:left="0" w:leftChars="0" w:firstLine="0" w:firstLineChars="0"/>
            <w:rPr>
              <w:rFonts w:hint="eastAsia" w:ascii="仿宋" w:hAnsi="仿宋" w:eastAsia="仿宋" w:cs="Times New Roman"/>
              <w:bCs/>
              <w:kern w:val="2"/>
              <w:sz w:val="20"/>
              <w:szCs w:val="32"/>
              <w:lang w:val="en-US" w:eastAsia="zh-CN" w:bidi="ar-SA"/>
            </w:rPr>
          </w:pPr>
          <w:r>
            <w:rPr>
              <w:rFonts w:hint="eastAsia" w:ascii="仿宋" w:hAnsi="仿宋" w:eastAsia="仿宋" w:cs="Times New Roman"/>
              <w:bCs/>
              <w:kern w:val="2"/>
              <w:szCs w:val="32"/>
              <w:lang w:val="en-US" w:eastAsia="zh-CN" w:bidi="ar-SA"/>
            </w:rPr>
            <w:fldChar w:fldCharType="end"/>
          </w:r>
        </w:p>
      </w:sdtContent>
    </w:sdt>
    <w:p w14:paraId="7B0AA0D1">
      <w:pPr>
        <w:pStyle w:val="4"/>
        <w:ind w:left="0" w:leftChars="0" w:firstLine="0" w:firstLineChars="0"/>
        <w:rPr>
          <w:rFonts w:hint="eastAsia" w:ascii="仿宋" w:hAnsi="仿宋" w:eastAsia="仿宋" w:cs="Times New Roman"/>
          <w:bCs/>
          <w:kern w:val="2"/>
          <w:sz w:val="20"/>
          <w:szCs w:val="32"/>
          <w:lang w:val="en-US" w:eastAsia="zh-CN" w:bidi="ar-SA"/>
        </w:rPr>
      </w:pPr>
    </w:p>
    <w:p w14:paraId="57BE9885">
      <w:pPr>
        <w:pStyle w:val="4"/>
        <w:ind w:left="0" w:leftChars="0" w:firstLine="0" w:firstLineChars="0"/>
        <w:rPr>
          <w:rFonts w:hint="eastAsia" w:ascii="仿宋" w:hAnsi="仿宋" w:eastAsia="仿宋" w:cs="Times New Roman"/>
          <w:b/>
          <w:bCs/>
          <w:kern w:val="2"/>
          <w:sz w:val="32"/>
          <w:szCs w:val="32"/>
          <w:lang w:val="en-US" w:eastAsia="zh-CN" w:bidi="ar-SA"/>
        </w:rPr>
      </w:pPr>
    </w:p>
    <w:p w14:paraId="7C78B418">
      <w:pPr>
        <w:pStyle w:val="4"/>
        <w:ind w:left="0" w:leftChars="0" w:firstLine="0" w:firstLineChars="0"/>
        <w:rPr>
          <w:rFonts w:hint="eastAsia" w:ascii="仿宋" w:hAnsi="仿宋" w:eastAsia="仿宋" w:cs="Times New Roman"/>
          <w:b/>
          <w:bCs/>
          <w:kern w:val="2"/>
          <w:sz w:val="32"/>
          <w:szCs w:val="32"/>
          <w:lang w:val="en-US" w:eastAsia="zh-CN" w:bidi="ar-SA"/>
        </w:rPr>
      </w:pPr>
    </w:p>
    <w:p w14:paraId="7C337444">
      <w:pPr>
        <w:pStyle w:val="4"/>
        <w:ind w:left="0" w:leftChars="0" w:firstLine="0" w:firstLineChars="0"/>
        <w:rPr>
          <w:rFonts w:hint="eastAsia" w:ascii="仿宋" w:hAnsi="仿宋" w:eastAsia="仿宋" w:cs="Times New Roman"/>
          <w:b/>
          <w:bCs/>
          <w:kern w:val="2"/>
          <w:sz w:val="32"/>
          <w:szCs w:val="32"/>
          <w:lang w:val="en-US" w:eastAsia="zh-CN" w:bidi="ar-SA"/>
        </w:rPr>
      </w:pPr>
    </w:p>
    <w:p w14:paraId="0025178F">
      <w:pPr>
        <w:pStyle w:val="4"/>
        <w:ind w:left="0" w:leftChars="0" w:firstLine="0" w:firstLineChars="0"/>
        <w:rPr>
          <w:rFonts w:hint="eastAsia" w:ascii="仿宋" w:hAnsi="仿宋" w:eastAsia="仿宋" w:cs="Times New Roman"/>
          <w:b/>
          <w:bCs/>
          <w:kern w:val="2"/>
          <w:sz w:val="32"/>
          <w:szCs w:val="32"/>
          <w:lang w:val="en-US" w:eastAsia="zh-CN" w:bidi="ar-SA"/>
        </w:rPr>
      </w:pPr>
    </w:p>
    <w:p w14:paraId="15CE8BFA">
      <w:pPr>
        <w:pStyle w:val="4"/>
        <w:ind w:left="0" w:leftChars="0" w:firstLine="0" w:firstLineChars="0"/>
        <w:outlineLvl w:val="0"/>
        <w:rPr>
          <w:rFonts w:hint="default" w:ascii="仿宋" w:hAnsi="仿宋" w:eastAsia="仿宋" w:cs="Times New Roman"/>
          <w:b/>
          <w:bCs/>
          <w:kern w:val="2"/>
          <w:sz w:val="32"/>
          <w:szCs w:val="32"/>
          <w:lang w:val="en-US" w:eastAsia="zh-CN" w:bidi="ar-SA"/>
        </w:rPr>
      </w:pPr>
      <w:bookmarkStart w:id="4" w:name="_Toc31561"/>
      <w:r>
        <w:rPr>
          <w:rFonts w:hint="eastAsia" w:ascii="仿宋" w:hAnsi="仿宋" w:eastAsia="仿宋" w:cs="Times New Roman"/>
          <w:b/>
          <w:bCs/>
          <w:kern w:val="2"/>
          <w:sz w:val="32"/>
          <w:szCs w:val="32"/>
          <w:lang w:val="en-US" w:eastAsia="zh-CN" w:bidi="ar-SA"/>
        </w:rPr>
        <w:t>前言</w:t>
      </w:r>
      <w:bookmarkEnd w:id="4"/>
    </w:p>
    <w:p w14:paraId="30CF77C6">
      <w:pPr>
        <w:ind w:firstLine="800" w:firstLineChars="250"/>
        <w:rPr>
          <w:rFonts w:hint="eastAsia" w:ascii="仿宋" w:hAnsi="仿宋" w:eastAsia="仿宋"/>
          <w:szCs w:val="32"/>
        </w:rPr>
      </w:pPr>
      <w:r>
        <w:rPr>
          <w:rFonts w:hint="eastAsia" w:ascii="仿宋" w:hAnsi="仿宋" w:eastAsia="仿宋"/>
          <w:szCs w:val="32"/>
        </w:rPr>
        <w:t>本次《大数据与会计专业人才培养调研报告（2024版）》是在深入调研的基础上，针对大数据与会计专业的人才培养现状、行业需求及发展趋势进行全面分析的重要成果。调研工作自202</w:t>
      </w:r>
      <w:r>
        <w:rPr>
          <w:rFonts w:hint="eastAsia" w:ascii="仿宋" w:hAnsi="仿宋" w:eastAsia="仿宋"/>
          <w:szCs w:val="32"/>
          <w:lang w:val="en-US" w:eastAsia="zh-CN"/>
        </w:rPr>
        <w:t>5</w:t>
      </w:r>
      <w:r>
        <w:rPr>
          <w:rFonts w:hint="eastAsia" w:ascii="仿宋" w:hAnsi="仿宋" w:eastAsia="仿宋"/>
          <w:szCs w:val="32"/>
        </w:rPr>
        <w:t>年</w:t>
      </w:r>
      <w:r>
        <w:rPr>
          <w:rFonts w:hint="eastAsia" w:ascii="仿宋" w:hAnsi="仿宋" w:eastAsia="仿宋"/>
          <w:szCs w:val="32"/>
          <w:lang w:val="en-US" w:eastAsia="zh-CN"/>
        </w:rPr>
        <w:t>6</w:t>
      </w:r>
      <w:r>
        <w:rPr>
          <w:rFonts w:hint="eastAsia" w:ascii="仿宋" w:hAnsi="仿宋" w:eastAsia="仿宋"/>
          <w:szCs w:val="32"/>
        </w:rPr>
        <w:t>月1</w:t>
      </w:r>
      <w:r>
        <w:rPr>
          <w:rFonts w:hint="eastAsia" w:ascii="仿宋" w:hAnsi="仿宋" w:eastAsia="仿宋"/>
          <w:szCs w:val="32"/>
          <w:lang w:val="en-US" w:eastAsia="zh-CN"/>
        </w:rPr>
        <w:t>0</w:t>
      </w:r>
      <w:r>
        <w:rPr>
          <w:rFonts w:hint="eastAsia" w:ascii="仿宋" w:hAnsi="仿宋" w:eastAsia="仿宋"/>
          <w:szCs w:val="32"/>
        </w:rPr>
        <w:t>日启动，历时</w:t>
      </w:r>
      <w:r>
        <w:rPr>
          <w:rFonts w:hint="eastAsia" w:ascii="仿宋" w:hAnsi="仿宋" w:eastAsia="仿宋"/>
          <w:szCs w:val="32"/>
          <w:lang w:val="en-US" w:eastAsia="zh-CN"/>
        </w:rPr>
        <w:t>20天</w:t>
      </w:r>
      <w:r>
        <w:rPr>
          <w:rFonts w:hint="eastAsia" w:ascii="仿宋" w:hAnsi="仿宋" w:eastAsia="仿宋"/>
          <w:szCs w:val="32"/>
        </w:rPr>
        <w:t>，至202</w:t>
      </w:r>
      <w:r>
        <w:rPr>
          <w:rFonts w:hint="eastAsia" w:ascii="仿宋" w:hAnsi="仿宋" w:eastAsia="仿宋"/>
          <w:szCs w:val="32"/>
          <w:lang w:val="en-US" w:eastAsia="zh-CN"/>
        </w:rPr>
        <w:t>5</w:t>
      </w:r>
      <w:r>
        <w:rPr>
          <w:rFonts w:hint="eastAsia" w:ascii="仿宋" w:hAnsi="仿宋" w:eastAsia="仿宋"/>
          <w:szCs w:val="32"/>
        </w:rPr>
        <w:t>年</w:t>
      </w:r>
      <w:r>
        <w:rPr>
          <w:rFonts w:hint="eastAsia" w:ascii="仿宋" w:hAnsi="仿宋" w:eastAsia="仿宋"/>
          <w:szCs w:val="32"/>
          <w:lang w:val="en-US" w:eastAsia="zh-CN"/>
        </w:rPr>
        <w:t>6</w:t>
      </w:r>
      <w:r>
        <w:rPr>
          <w:rFonts w:hint="eastAsia" w:ascii="仿宋" w:hAnsi="仿宋" w:eastAsia="仿宋"/>
          <w:szCs w:val="32"/>
        </w:rPr>
        <w:t>月</w:t>
      </w:r>
      <w:r>
        <w:rPr>
          <w:rFonts w:hint="eastAsia" w:ascii="仿宋" w:hAnsi="仿宋" w:eastAsia="仿宋"/>
          <w:szCs w:val="32"/>
          <w:lang w:val="en-US" w:eastAsia="zh-CN"/>
        </w:rPr>
        <w:t>30</w:t>
      </w:r>
      <w:r>
        <w:rPr>
          <w:rFonts w:hint="eastAsia" w:ascii="仿宋" w:hAnsi="仿宋" w:eastAsia="仿宋"/>
          <w:szCs w:val="32"/>
        </w:rPr>
        <w:t>日圆满结束。调研期间，我们采用了问卷调查、网络查询及文献查阅等多种方法，确保数据的全面性和准确性。</w:t>
      </w:r>
    </w:p>
    <w:p w14:paraId="2D6CF027">
      <w:pPr>
        <w:ind w:firstLine="480" w:firstLineChars="150"/>
        <w:rPr>
          <w:rFonts w:hint="eastAsia" w:ascii="仿宋" w:hAnsi="仿宋" w:eastAsia="仿宋"/>
          <w:szCs w:val="32"/>
        </w:rPr>
      </w:pPr>
      <w:r>
        <w:rPr>
          <w:rFonts w:hint="eastAsia" w:ascii="仿宋" w:hAnsi="仿宋" w:eastAsia="仿宋"/>
          <w:szCs w:val="32"/>
        </w:rPr>
        <w:t>调研对象覆盖了多个维度，包括行业企业61家（其中龙头企业3家，中型企业18家，小微企业40家），本专业不同年份毕业生共计109名，大数据与会计专业的2021级、2022级、2023级在校生158名，以及来自福建省仙游华侨职业中专学校等6所中职学校和全国排名前列的50所高职院校及3所职业本科学校的会计人才培养方案。通过广泛的调研，我们力求全面、客观地反映大数据与会计专业人才培养的现状与需求。</w:t>
      </w:r>
    </w:p>
    <w:p w14:paraId="7D80FB9E">
      <w:pPr>
        <w:ind w:firstLine="643" w:firstLineChars="200"/>
        <w:outlineLvl w:val="0"/>
        <w:rPr>
          <w:rFonts w:ascii="仿宋" w:hAnsi="仿宋" w:eastAsia="仿宋"/>
          <w:b/>
          <w:szCs w:val="32"/>
        </w:rPr>
      </w:pPr>
      <w:bookmarkStart w:id="5" w:name="_Toc17998"/>
      <w:r>
        <w:rPr>
          <w:rFonts w:hint="eastAsia" w:ascii="仿宋" w:hAnsi="仿宋" w:eastAsia="仿宋"/>
          <w:b/>
          <w:szCs w:val="32"/>
        </w:rPr>
        <w:t>一、调研目的</w:t>
      </w:r>
      <w:bookmarkEnd w:id="5"/>
      <w:r>
        <w:rPr>
          <w:rFonts w:hint="eastAsia" w:ascii="仿宋" w:hAnsi="仿宋" w:eastAsia="仿宋"/>
          <w:b/>
          <w:szCs w:val="32"/>
        </w:rPr>
        <w:t xml:space="preserve"> </w:t>
      </w:r>
    </w:p>
    <w:p w14:paraId="701445CA">
      <w:pPr>
        <w:pStyle w:val="4"/>
        <w:ind w:firstLine="640"/>
        <w:rPr>
          <w:rFonts w:hint="eastAsia" w:ascii="仿宋" w:hAnsi="仿宋" w:eastAsia="仿宋"/>
          <w:sz w:val="32"/>
          <w:szCs w:val="32"/>
        </w:rPr>
      </w:pPr>
      <w:r>
        <w:rPr>
          <w:rFonts w:hint="eastAsia" w:ascii="仿宋" w:hAnsi="仿宋" w:eastAsia="仿宋"/>
          <w:sz w:val="32"/>
          <w:szCs w:val="32"/>
        </w:rPr>
        <w:t>本次调研旨在通过深入剖析大数据与会计专业的人才培养现状，明确行业需求与岗位技能要求，为优化该专业的人才培养方案提供科学依据。具体目标包括：</w:t>
      </w:r>
    </w:p>
    <w:p w14:paraId="5507470F">
      <w:pPr>
        <w:pStyle w:val="4"/>
        <w:numPr>
          <w:ilvl w:val="0"/>
          <w:numId w:val="2"/>
        </w:numPr>
        <w:ind w:left="420" w:leftChars="0" w:hanging="420" w:firstLineChars="0"/>
        <w:rPr>
          <w:rFonts w:hint="eastAsia" w:ascii="仿宋" w:hAnsi="仿宋" w:eastAsia="仿宋"/>
          <w:sz w:val="32"/>
          <w:szCs w:val="32"/>
        </w:rPr>
      </w:pPr>
      <w:r>
        <w:rPr>
          <w:rFonts w:hint="eastAsia" w:ascii="仿宋" w:hAnsi="仿宋" w:eastAsia="仿宋"/>
          <w:b/>
          <w:bCs/>
          <w:sz w:val="32"/>
          <w:szCs w:val="32"/>
        </w:rPr>
        <w:t>了解行业需求：</w:t>
      </w:r>
      <w:r>
        <w:rPr>
          <w:rFonts w:hint="eastAsia" w:ascii="仿宋" w:hAnsi="仿宋" w:eastAsia="仿宋"/>
          <w:sz w:val="32"/>
          <w:szCs w:val="32"/>
        </w:rPr>
        <w:t>通过调研行业企业，明确大数据与会计专业的岗位需求、典型工作任务及技能要求，为课程设置和教学内容更新提供方向。</w:t>
      </w:r>
    </w:p>
    <w:p w14:paraId="3FD47E97">
      <w:pPr>
        <w:pStyle w:val="4"/>
        <w:numPr>
          <w:ilvl w:val="0"/>
          <w:numId w:val="2"/>
        </w:numPr>
        <w:ind w:left="420" w:leftChars="0" w:hanging="420" w:firstLineChars="0"/>
        <w:rPr>
          <w:rFonts w:hint="eastAsia" w:ascii="仿宋" w:hAnsi="仿宋" w:eastAsia="仿宋"/>
          <w:sz w:val="32"/>
          <w:szCs w:val="32"/>
        </w:rPr>
      </w:pPr>
      <w:r>
        <w:rPr>
          <w:rFonts w:hint="eastAsia" w:ascii="仿宋" w:hAnsi="仿宋" w:eastAsia="仿宋"/>
          <w:b/>
          <w:bCs/>
          <w:sz w:val="32"/>
          <w:szCs w:val="32"/>
        </w:rPr>
        <w:t>评估毕业生发展：</w:t>
      </w:r>
      <w:r>
        <w:rPr>
          <w:rFonts w:hint="eastAsia" w:ascii="仿宋" w:hAnsi="仿宋" w:eastAsia="仿宋"/>
          <w:sz w:val="32"/>
          <w:szCs w:val="32"/>
        </w:rPr>
        <w:t>调研本专业毕业生的职业发展路径和关键能力需求，了解毕业生对专业教育的满意度及改进建议，为提升人才培养质量提供参考。</w:t>
      </w:r>
    </w:p>
    <w:p w14:paraId="32763352">
      <w:pPr>
        <w:pStyle w:val="4"/>
        <w:numPr>
          <w:ilvl w:val="0"/>
          <w:numId w:val="2"/>
        </w:numPr>
        <w:ind w:left="420" w:leftChars="0" w:hanging="420" w:firstLineChars="0"/>
        <w:rPr>
          <w:rFonts w:hint="eastAsia" w:ascii="仿宋" w:hAnsi="仿宋" w:eastAsia="仿宋"/>
          <w:sz w:val="32"/>
          <w:szCs w:val="32"/>
        </w:rPr>
      </w:pPr>
      <w:r>
        <w:rPr>
          <w:rFonts w:hint="eastAsia" w:ascii="仿宋" w:hAnsi="仿宋" w:eastAsia="仿宋"/>
          <w:b/>
          <w:bCs/>
          <w:sz w:val="32"/>
          <w:szCs w:val="32"/>
        </w:rPr>
        <w:t>收集在校生意见：</w:t>
      </w:r>
      <w:r>
        <w:rPr>
          <w:rFonts w:hint="eastAsia" w:ascii="仿宋" w:hAnsi="仿宋" w:eastAsia="仿宋"/>
          <w:sz w:val="32"/>
          <w:szCs w:val="32"/>
        </w:rPr>
        <w:t>通过问卷调查在校生，获取其对课程设置、教学方法及未来职业发展的看法和建议，为教学改进提供第一手资料。</w:t>
      </w:r>
    </w:p>
    <w:p w14:paraId="26CDF7C5">
      <w:pPr>
        <w:pStyle w:val="4"/>
        <w:numPr>
          <w:ilvl w:val="0"/>
          <w:numId w:val="2"/>
        </w:numPr>
        <w:ind w:left="420" w:leftChars="0" w:hanging="420" w:firstLineChars="0"/>
        <w:rPr>
          <w:rFonts w:ascii="仿宋" w:hAnsi="仿宋" w:eastAsia="仿宋"/>
          <w:sz w:val="32"/>
          <w:szCs w:val="32"/>
        </w:rPr>
      </w:pPr>
      <w:r>
        <w:rPr>
          <w:rFonts w:hint="eastAsia" w:ascii="仿宋" w:hAnsi="仿宋" w:eastAsia="仿宋"/>
          <w:b/>
          <w:bCs/>
          <w:sz w:val="32"/>
          <w:szCs w:val="32"/>
        </w:rPr>
        <w:t>分析不同层次教育方案：</w:t>
      </w:r>
      <w:r>
        <w:rPr>
          <w:rFonts w:hint="eastAsia" w:ascii="仿宋" w:hAnsi="仿宋" w:eastAsia="仿宋"/>
          <w:sz w:val="32"/>
          <w:szCs w:val="32"/>
        </w:rPr>
        <w:t>调研中职、高职、职业本科等不同层次的教育机构的人才培养方案，对比分析其培养目标、课程设置、实践教学等方面的异同，为构建更加科学合理的人才培养体系提供借鉴。</w:t>
      </w:r>
    </w:p>
    <w:p w14:paraId="612CDA77">
      <w:pPr>
        <w:ind w:firstLine="643" w:firstLineChars="200"/>
        <w:outlineLvl w:val="0"/>
        <w:rPr>
          <w:rFonts w:ascii="仿宋" w:hAnsi="仿宋" w:eastAsia="仿宋"/>
          <w:b/>
          <w:szCs w:val="32"/>
        </w:rPr>
      </w:pPr>
      <w:bookmarkStart w:id="6" w:name="_Toc17221"/>
      <w:bookmarkStart w:id="7" w:name="_Toc19331"/>
      <w:r>
        <w:rPr>
          <w:rFonts w:hint="eastAsia" w:ascii="仿宋" w:hAnsi="仿宋" w:eastAsia="仿宋"/>
          <w:b/>
          <w:szCs w:val="32"/>
        </w:rPr>
        <w:t>二、调研时间及对象</w:t>
      </w:r>
      <w:bookmarkEnd w:id="6"/>
      <w:bookmarkEnd w:id="7"/>
    </w:p>
    <w:p w14:paraId="5C31C75A">
      <w:pPr>
        <w:ind w:firstLine="643" w:firstLineChars="200"/>
        <w:outlineLvl w:val="1"/>
        <w:rPr>
          <w:rFonts w:ascii="仿宋" w:hAnsi="仿宋" w:eastAsia="仿宋"/>
          <w:b/>
          <w:szCs w:val="32"/>
        </w:rPr>
      </w:pPr>
      <w:bookmarkStart w:id="8" w:name="_Toc17567"/>
      <w:bookmarkStart w:id="9" w:name="_Toc7676"/>
      <w:r>
        <w:rPr>
          <w:rFonts w:hint="eastAsia" w:ascii="仿宋" w:hAnsi="仿宋" w:eastAsia="仿宋"/>
          <w:b/>
          <w:szCs w:val="32"/>
        </w:rPr>
        <w:t>(一)调研时间</w:t>
      </w:r>
      <w:bookmarkEnd w:id="8"/>
      <w:bookmarkEnd w:id="9"/>
    </w:p>
    <w:p w14:paraId="10337A7B">
      <w:pPr>
        <w:spacing w:line="288" w:lineRule="auto"/>
        <w:ind w:firstLine="640" w:firstLineChars="200"/>
        <w:rPr>
          <w:rFonts w:hint="default" w:ascii="仿宋" w:hAnsi="仿宋" w:eastAsia="仿宋"/>
          <w:b w:val="0"/>
          <w:bCs/>
          <w:szCs w:val="32"/>
          <w:lang w:val="en-US" w:eastAsia="zh-CN"/>
        </w:rPr>
      </w:pPr>
      <w:r>
        <w:rPr>
          <w:rFonts w:hint="eastAsia" w:ascii="仿宋" w:hAnsi="仿宋" w:eastAsia="仿宋"/>
          <w:b w:val="0"/>
          <w:bCs/>
          <w:szCs w:val="32"/>
          <w:lang w:val="en-US" w:eastAsia="zh-CN"/>
        </w:rPr>
        <w:t>2025.6.10-2024.6.30</w:t>
      </w:r>
    </w:p>
    <w:p w14:paraId="679340BA">
      <w:pPr>
        <w:ind w:firstLine="643" w:firstLineChars="200"/>
        <w:outlineLvl w:val="1"/>
        <w:rPr>
          <w:rFonts w:ascii="仿宋" w:hAnsi="仿宋" w:eastAsia="仿宋"/>
          <w:b/>
          <w:szCs w:val="32"/>
        </w:rPr>
      </w:pPr>
      <w:bookmarkStart w:id="10" w:name="_Toc32229"/>
      <w:bookmarkStart w:id="11" w:name="_Toc5622"/>
      <w:r>
        <w:rPr>
          <w:rFonts w:hint="eastAsia" w:ascii="仿宋" w:hAnsi="仿宋" w:eastAsia="仿宋"/>
          <w:b/>
          <w:szCs w:val="32"/>
        </w:rPr>
        <w:t>(二)调研对象</w:t>
      </w:r>
      <w:bookmarkEnd w:id="10"/>
      <w:bookmarkEnd w:id="11"/>
    </w:p>
    <w:p w14:paraId="1D18B5C0">
      <w:pPr>
        <w:ind w:firstLine="640" w:firstLineChars="200"/>
        <w:outlineLvl w:val="2"/>
        <w:rPr>
          <w:rFonts w:hint="eastAsia" w:ascii="仿宋" w:hAnsi="仿宋" w:eastAsia="仿宋"/>
          <w:szCs w:val="32"/>
        </w:rPr>
      </w:pPr>
      <w:r>
        <w:rPr>
          <w:rFonts w:hint="eastAsia" w:ascii="仿宋" w:hAnsi="仿宋" w:eastAsia="仿宋"/>
          <w:szCs w:val="32"/>
        </w:rPr>
        <w:t>1.</w:t>
      </w:r>
      <w:r>
        <w:rPr>
          <w:rFonts w:hint="eastAsia" w:ascii="仿宋" w:hAnsi="仿宋" w:eastAsia="仿宋"/>
          <w:b/>
          <w:bCs/>
          <w:szCs w:val="32"/>
        </w:rPr>
        <w:t>行业企业</w:t>
      </w:r>
    </w:p>
    <w:p w14:paraId="1D84D6B5">
      <w:pPr>
        <w:ind w:firstLine="640" w:firstLineChars="200"/>
        <w:outlineLvl w:val="9"/>
        <w:rPr>
          <w:rFonts w:hint="default" w:ascii="仿宋" w:hAnsi="仿宋" w:eastAsia="仿宋"/>
          <w:szCs w:val="32"/>
          <w:lang w:val="en-US" w:eastAsia="zh-CN"/>
        </w:rPr>
      </w:pPr>
      <w:r>
        <w:rPr>
          <w:rFonts w:hint="eastAsia" w:ascii="仿宋" w:hAnsi="仿宋" w:eastAsia="仿宋"/>
          <w:szCs w:val="32"/>
          <w:lang w:val="en-US" w:eastAsia="zh-CN"/>
        </w:rPr>
        <w:t>本次调研选取了行业企业61家，其中龙头企业3家，中型企业18家，小微企业40家。</w:t>
      </w:r>
    </w:p>
    <w:p w14:paraId="7C30494A">
      <w:pPr>
        <w:pStyle w:val="4"/>
        <w:ind w:firstLine="640"/>
        <w:outlineLvl w:val="2"/>
        <w:rPr>
          <w:rFonts w:hint="eastAsia" w:ascii="仿宋" w:hAnsi="仿宋" w:eastAsia="仿宋" w:cs="仿宋"/>
          <w:b/>
          <w:bCs/>
          <w:sz w:val="32"/>
          <w:szCs w:val="32"/>
          <w:lang w:val="zh-CN" w:bidi="zh-CN"/>
        </w:rPr>
      </w:pPr>
      <w:r>
        <w:rPr>
          <w:rFonts w:hint="eastAsia" w:ascii="仿宋" w:hAnsi="仿宋" w:eastAsia="仿宋"/>
          <w:b/>
          <w:bCs/>
          <w:kern w:val="2"/>
          <w:sz w:val="32"/>
          <w:szCs w:val="32"/>
        </w:rPr>
        <w:t>2.</w:t>
      </w:r>
      <w:r>
        <w:rPr>
          <w:rFonts w:hint="eastAsia" w:ascii="仿宋" w:hAnsi="仿宋" w:eastAsia="仿宋"/>
          <w:b/>
          <w:bCs/>
          <w:kern w:val="2"/>
          <w:sz w:val="32"/>
          <w:szCs w:val="32"/>
          <w:lang w:val="en-US" w:eastAsia="zh-CN"/>
        </w:rPr>
        <w:t>本专业</w:t>
      </w:r>
      <w:r>
        <w:rPr>
          <w:rFonts w:hint="eastAsia" w:ascii="仿宋" w:hAnsi="仿宋" w:eastAsia="仿宋" w:cs="仿宋"/>
          <w:b/>
          <w:bCs/>
          <w:sz w:val="32"/>
          <w:szCs w:val="32"/>
          <w:lang w:val="zh-CN" w:bidi="zh-CN"/>
        </w:rPr>
        <w:t>毕业生</w:t>
      </w:r>
    </w:p>
    <w:p w14:paraId="19D7314A">
      <w:pPr>
        <w:pStyle w:val="4"/>
        <w:ind w:firstLine="640"/>
        <w:rPr>
          <w:rFonts w:hint="default" w:ascii="仿宋" w:hAnsi="仿宋" w:eastAsia="仿宋" w:cs="仿宋"/>
          <w:sz w:val="32"/>
          <w:szCs w:val="32"/>
          <w:lang w:val="en-US" w:bidi="zh-CN"/>
        </w:rPr>
      </w:pPr>
      <w:r>
        <w:rPr>
          <w:rFonts w:hint="eastAsia" w:ascii="仿宋" w:hAnsi="仿宋" w:eastAsia="仿宋" w:cs="仿宋"/>
          <w:sz w:val="32"/>
          <w:szCs w:val="32"/>
          <w:lang w:val="en-US" w:bidi="zh-CN"/>
        </w:rPr>
        <w:t>本次调研选取了不同年份毕业生共计109名。</w:t>
      </w:r>
    </w:p>
    <w:p w14:paraId="492B8AF0">
      <w:pPr>
        <w:pStyle w:val="4"/>
        <w:numPr>
          <w:ilvl w:val="0"/>
          <w:numId w:val="0"/>
        </w:numPr>
        <w:ind w:firstLine="643" w:firstLineChars="200"/>
        <w:outlineLvl w:val="2"/>
        <w:rPr>
          <w:rFonts w:hint="eastAsia" w:ascii="仿宋" w:hAnsi="仿宋" w:eastAsia="仿宋" w:cs="仿宋"/>
          <w:b/>
          <w:bCs/>
          <w:sz w:val="32"/>
          <w:szCs w:val="32"/>
          <w:lang w:val="zh-CN" w:bidi="zh-CN"/>
        </w:rPr>
      </w:pPr>
      <w:bookmarkStart w:id="12" w:name="OLE_LINK1"/>
      <w:r>
        <w:rPr>
          <w:rFonts w:hint="eastAsia" w:ascii="仿宋" w:hAnsi="仿宋" w:eastAsia="仿宋" w:cs="仿宋"/>
          <w:b/>
          <w:bCs/>
          <w:sz w:val="32"/>
          <w:szCs w:val="32"/>
          <w:lang w:val="en-US" w:bidi="zh-CN"/>
        </w:rPr>
        <w:t>3.本</w:t>
      </w:r>
      <w:r>
        <w:rPr>
          <w:rFonts w:hint="eastAsia" w:ascii="仿宋" w:hAnsi="仿宋" w:eastAsia="仿宋" w:cs="仿宋"/>
          <w:b/>
          <w:bCs/>
          <w:sz w:val="32"/>
          <w:szCs w:val="32"/>
          <w:lang w:val="zh-CN" w:bidi="zh-CN"/>
        </w:rPr>
        <w:t>专业在校生</w:t>
      </w:r>
      <w:bookmarkEnd w:id="12"/>
    </w:p>
    <w:p w14:paraId="2EE78658">
      <w:pPr>
        <w:pStyle w:val="4"/>
        <w:numPr>
          <w:ilvl w:val="0"/>
          <w:numId w:val="0"/>
        </w:numPr>
        <w:ind w:firstLine="640" w:firstLineChars="200"/>
        <w:rPr>
          <w:rFonts w:hint="default" w:ascii="仿宋" w:hAnsi="仿宋" w:eastAsia="仿宋" w:cs="仿宋"/>
          <w:sz w:val="32"/>
          <w:szCs w:val="32"/>
          <w:lang w:val="en-US" w:bidi="zh-CN"/>
        </w:rPr>
      </w:pPr>
      <w:r>
        <w:rPr>
          <w:rFonts w:hint="eastAsia" w:ascii="仿宋" w:hAnsi="仿宋" w:eastAsia="仿宋" w:cs="仿宋"/>
          <w:sz w:val="32"/>
          <w:szCs w:val="32"/>
          <w:lang w:val="en-US" w:bidi="zh-CN"/>
        </w:rPr>
        <w:t>本次调研选取了大数据与会计的2022级、2023级、2024级共计算158名在校生。</w:t>
      </w:r>
    </w:p>
    <w:p w14:paraId="37A3FAB4">
      <w:pPr>
        <w:pStyle w:val="4"/>
        <w:numPr>
          <w:ilvl w:val="0"/>
          <w:numId w:val="0"/>
        </w:numPr>
        <w:ind w:firstLine="643" w:firstLineChars="200"/>
        <w:outlineLvl w:val="2"/>
        <w:rPr>
          <w:rFonts w:hint="eastAsia" w:ascii="仿宋" w:hAnsi="仿宋" w:eastAsia="仿宋" w:cs="仿宋"/>
          <w:b/>
          <w:bCs/>
          <w:sz w:val="32"/>
          <w:szCs w:val="32"/>
          <w:lang w:val="zh-CN" w:bidi="zh-CN"/>
        </w:rPr>
      </w:pPr>
      <w:r>
        <w:rPr>
          <w:rFonts w:hint="eastAsia" w:ascii="仿宋" w:hAnsi="仿宋" w:eastAsia="仿宋" w:cs="仿宋"/>
          <w:b/>
          <w:bCs/>
          <w:sz w:val="32"/>
          <w:szCs w:val="32"/>
          <w:lang w:val="en-US" w:bidi="zh-CN"/>
        </w:rPr>
        <w:t>4.会计事务专业</w:t>
      </w:r>
      <w:r>
        <w:rPr>
          <w:rFonts w:hint="eastAsia" w:ascii="仿宋" w:hAnsi="仿宋" w:eastAsia="仿宋" w:cs="仿宋"/>
          <w:b/>
          <w:bCs/>
          <w:sz w:val="32"/>
          <w:szCs w:val="32"/>
          <w:lang w:val="zh-CN" w:bidi="zh-CN"/>
        </w:rPr>
        <w:t>中职人培方案</w:t>
      </w:r>
    </w:p>
    <w:p w14:paraId="2805E10A">
      <w:pPr>
        <w:pStyle w:val="4"/>
        <w:numPr>
          <w:ilvl w:val="0"/>
          <w:numId w:val="0"/>
        </w:numPr>
        <w:ind w:firstLine="640"/>
        <w:rPr>
          <w:rFonts w:hint="default" w:ascii="仿宋" w:hAnsi="仿宋" w:eastAsia="仿宋" w:cs="仿宋"/>
          <w:sz w:val="32"/>
          <w:szCs w:val="32"/>
          <w:lang w:val="en-US" w:bidi="zh-CN"/>
        </w:rPr>
      </w:pPr>
      <w:r>
        <w:rPr>
          <w:rFonts w:hint="eastAsia" w:ascii="仿宋" w:hAnsi="仿宋" w:eastAsia="仿宋" w:cs="仿宋"/>
          <w:sz w:val="32"/>
          <w:szCs w:val="32"/>
          <w:lang w:val="en-US" w:bidi="zh-CN"/>
        </w:rPr>
        <w:t>本次调研了选取了福建省仙游华侨职业中专学校、山东省文登师范学校、中山市现代职业技术学院、广西华侨学校、中山市现代职业技术学校、广西商业学校共计6所学校。</w:t>
      </w:r>
    </w:p>
    <w:p w14:paraId="311CEDF3">
      <w:pPr>
        <w:pStyle w:val="4"/>
        <w:ind w:firstLine="640"/>
        <w:outlineLvl w:val="2"/>
        <w:rPr>
          <w:rFonts w:hint="eastAsia" w:ascii="仿宋" w:hAnsi="仿宋" w:eastAsia="仿宋" w:cs="仿宋"/>
          <w:b/>
          <w:bCs/>
          <w:color w:val="0000FF"/>
          <w:sz w:val="32"/>
          <w:szCs w:val="32"/>
          <w:lang w:val="zh-CN" w:bidi="zh-CN"/>
        </w:rPr>
      </w:pPr>
      <w:r>
        <w:rPr>
          <w:rFonts w:hint="eastAsia" w:ascii="仿宋" w:hAnsi="仿宋" w:eastAsia="仿宋" w:cs="仿宋"/>
          <w:b/>
          <w:bCs/>
          <w:sz w:val="32"/>
          <w:szCs w:val="32"/>
          <w:lang w:val="zh-CN" w:bidi="zh-CN"/>
        </w:rPr>
        <w:t>5.</w:t>
      </w:r>
      <w:r>
        <w:rPr>
          <w:rFonts w:hint="eastAsia" w:ascii="仿宋" w:hAnsi="仿宋" w:eastAsia="仿宋" w:cs="仿宋"/>
          <w:b/>
          <w:bCs/>
          <w:sz w:val="32"/>
          <w:szCs w:val="32"/>
          <w:lang w:val="en-US" w:bidi="zh-CN"/>
        </w:rPr>
        <w:t>大数据与会计专业</w:t>
      </w:r>
      <w:r>
        <w:rPr>
          <w:rFonts w:hint="eastAsia" w:ascii="仿宋" w:hAnsi="仿宋" w:eastAsia="仿宋" w:cs="仿宋"/>
          <w:b/>
          <w:bCs/>
          <w:sz w:val="32"/>
          <w:szCs w:val="32"/>
          <w:lang w:val="zh-CN" w:bidi="zh-CN"/>
        </w:rPr>
        <w:t>职业院校人培方案</w:t>
      </w:r>
    </w:p>
    <w:p w14:paraId="246EA290">
      <w:pPr>
        <w:pStyle w:val="4"/>
        <w:ind w:left="0" w:leftChars="0" w:firstLine="643" w:firstLineChars="200"/>
        <w:rPr>
          <w:rFonts w:hint="eastAsia" w:ascii="仿宋" w:hAnsi="仿宋" w:eastAsia="仿宋" w:cs="仿宋"/>
          <w:b/>
          <w:bCs/>
          <w:sz w:val="32"/>
          <w:szCs w:val="32"/>
          <w:lang w:val="en-US" w:bidi="zh-CN"/>
        </w:rPr>
      </w:pPr>
      <w:r>
        <w:rPr>
          <w:rFonts w:hint="eastAsia" w:ascii="仿宋" w:hAnsi="仿宋" w:eastAsia="仿宋" w:cs="仿宋"/>
          <w:b/>
          <w:bCs/>
          <w:sz w:val="32"/>
          <w:szCs w:val="32"/>
          <w:lang w:val="en-US" w:bidi="zh-CN"/>
        </w:rPr>
        <w:t>（1）高水平专科学校</w:t>
      </w:r>
    </w:p>
    <w:p w14:paraId="5D6B6A10">
      <w:pPr>
        <w:pStyle w:val="4"/>
        <w:rPr>
          <w:rFonts w:hint="eastAsia" w:ascii="仿宋" w:hAnsi="仿宋" w:eastAsia="仿宋" w:cs="仿宋"/>
          <w:sz w:val="32"/>
          <w:szCs w:val="32"/>
          <w:lang w:val="en-US" w:bidi="zh-CN"/>
        </w:rPr>
      </w:pPr>
      <w:r>
        <w:rPr>
          <w:rFonts w:hint="eastAsia" w:ascii="仿宋" w:hAnsi="仿宋" w:eastAsia="仿宋" w:cs="仿宋"/>
          <w:sz w:val="32"/>
          <w:szCs w:val="32"/>
          <w:lang w:val="en-US" w:bidi="zh-CN"/>
        </w:rPr>
        <w:t>2025年5月，金平果中评榜(GAR)第五次发布全国高职院校分专业竞争力排行榜，榜单统计出2024开设高校数最多的十大热门高职专科专业为：大数据与会计（1005所）、电子商务（963）、大数据技术（759）、机电一体化技术（728）、现代物流管理（711）、计算机应用技术（705）、旅游管理（682）、市场营销（671）、计算机网络技术（648）、软件技术（641）。</w:t>
      </w:r>
    </w:p>
    <w:p w14:paraId="42EF5CBF">
      <w:pPr>
        <w:pStyle w:val="4"/>
        <w:ind w:left="0" w:leftChars="0" w:firstLine="0" w:firstLineChars="0"/>
        <w:rPr>
          <w:rFonts w:hint="eastAsia" w:ascii="仿宋" w:hAnsi="仿宋" w:eastAsia="仿宋" w:cs="仿宋"/>
          <w:sz w:val="32"/>
          <w:szCs w:val="32"/>
          <w:lang w:val="en-US" w:bidi="zh-CN"/>
        </w:rPr>
      </w:pPr>
      <w:r>
        <w:rPr>
          <w:rFonts w:hint="eastAsia" w:ascii="仿宋" w:hAnsi="仿宋" w:eastAsia="仿宋" w:cs="仿宋"/>
          <w:sz w:val="32"/>
          <w:szCs w:val="32"/>
          <w:lang w:val="en-US" w:bidi="zh-CN"/>
        </w:rPr>
        <w:t xml:space="preserve">     根据金平果2024大数据与会计高职专业排行榜，我们选取了榜单中排名前五十的学校作为本次人才培养方案的研究对象：浙江金融职业学院（2）、江西财经职业学院（3）、重庆财经职业学院（5）、深圳职业技术大学（10）、湖南财经工业职业技术学院（11）、河南财贸职业技术学院（13）江苏财会专业学院（40）、重庆商务职业学院（41）作为本次的调研对象。</w:t>
      </w:r>
    </w:p>
    <w:p w14:paraId="5FB52453">
      <w:pPr>
        <w:pStyle w:val="4"/>
        <w:numPr>
          <w:ilvl w:val="0"/>
          <w:numId w:val="0"/>
        </w:numPr>
        <w:ind w:leftChars="0"/>
        <w:rPr>
          <w:rFonts w:hint="eastAsia" w:ascii="仿宋" w:hAnsi="仿宋" w:eastAsia="仿宋" w:cs="仿宋"/>
          <w:b/>
          <w:bCs/>
          <w:sz w:val="32"/>
          <w:szCs w:val="32"/>
          <w:lang w:val="en-US" w:bidi="zh-CN"/>
        </w:rPr>
      </w:pPr>
      <w:r>
        <w:rPr>
          <w:rFonts w:hint="eastAsia" w:ascii="仿宋" w:hAnsi="仿宋" w:eastAsia="仿宋" w:cs="仿宋"/>
          <w:b/>
          <w:bCs/>
          <w:sz w:val="32"/>
          <w:szCs w:val="32"/>
          <w:lang w:val="en-US" w:bidi="zh-CN"/>
        </w:rPr>
        <w:t>（2）职业本科</w:t>
      </w:r>
    </w:p>
    <w:p w14:paraId="2DC4E983">
      <w:pPr>
        <w:pStyle w:val="4"/>
        <w:numPr>
          <w:ilvl w:val="0"/>
          <w:numId w:val="0"/>
        </w:numPr>
        <w:ind w:leftChars="0"/>
        <w:rPr>
          <w:rFonts w:hint="default" w:ascii="仿宋" w:hAnsi="仿宋" w:eastAsia="仿宋" w:cs="仿宋"/>
          <w:sz w:val="32"/>
          <w:szCs w:val="32"/>
          <w:lang w:val="en-US" w:bidi="zh-CN"/>
        </w:rPr>
      </w:pPr>
      <w:r>
        <w:rPr>
          <w:rFonts w:hint="eastAsia" w:ascii="仿宋" w:hAnsi="仿宋" w:eastAsia="仿宋" w:cs="仿宋"/>
          <w:sz w:val="32"/>
          <w:szCs w:val="32"/>
          <w:lang w:val="en-US" w:bidi="zh-CN"/>
        </w:rPr>
        <w:t xml:space="preserve">    根据教育部分布的2024年全国普通高等学校名单（截至2024年6月20日），职业本科学校共计53所，其中本科开设了大数据与会计专业的学校共计20所，占比为37.73%。本次调研选取了河北科技工程职业技术大学、兰州石化职业技术大学、山西工程科技职业大学人才培养作为调研对象。</w:t>
      </w:r>
    </w:p>
    <w:p w14:paraId="3DC6EEDB">
      <w:pPr>
        <w:ind w:firstLine="643" w:firstLineChars="200"/>
        <w:outlineLvl w:val="0"/>
        <w:rPr>
          <w:rFonts w:hint="eastAsia" w:ascii="仿宋" w:hAnsi="仿宋" w:eastAsia="仿宋"/>
          <w:b/>
          <w:szCs w:val="32"/>
        </w:rPr>
      </w:pPr>
      <w:bookmarkStart w:id="13" w:name="_Toc24279"/>
      <w:r>
        <w:rPr>
          <w:rFonts w:hint="eastAsia" w:ascii="仿宋" w:hAnsi="仿宋" w:eastAsia="仿宋"/>
          <w:b/>
          <w:szCs w:val="32"/>
        </w:rPr>
        <w:t>三、调研内容</w:t>
      </w:r>
      <w:bookmarkEnd w:id="13"/>
    </w:p>
    <w:p w14:paraId="427832CD">
      <w:pPr>
        <w:ind w:firstLine="643" w:firstLineChars="200"/>
        <w:outlineLvl w:val="1"/>
        <w:rPr>
          <w:rFonts w:hint="eastAsia" w:ascii="仿宋" w:hAnsi="仿宋" w:eastAsia="仿宋"/>
          <w:b/>
          <w:szCs w:val="32"/>
        </w:rPr>
      </w:pPr>
      <w:bookmarkStart w:id="14" w:name="_Toc22073"/>
      <w:r>
        <w:rPr>
          <w:rFonts w:hint="eastAsia" w:ascii="仿宋" w:hAnsi="仿宋" w:eastAsia="仿宋"/>
          <w:b/>
          <w:szCs w:val="32"/>
        </w:rPr>
        <w:t>（一）</w:t>
      </w:r>
      <w:bookmarkStart w:id="15" w:name="OLE_LINK2"/>
      <w:r>
        <w:rPr>
          <w:rFonts w:hint="eastAsia" w:ascii="仿宋" w:hAnsi="仿宋" w:eastAsia="仿宋"/>
          <w:b/>
          <w:szCs w:val="32"/>
        </w:rPr>
        <w:t>行业企业的人才需求及职业面向的典型工作任务及技能要求。</w:t>
      </w:r>
      <w:bookmarkEnd w:id="14"/>
    </w:p>
    <w:bookmarkEnd w:id="15"/>
    <w:p w14:paraId="5A9895FE">
      <w:pPr>
        <w:ind w:firstLine="643" w:firstLineChars="200"/>
        <w:outlineLvl w:val="1"/>
        <w:rPr>
          <w:rFonts w:hint="eastAsia" w:ascii="仿宋" w:hAnsi="仿宋" w:eastAsia="仿宋"/>
          <w:b/>
          <w:szCs w:val="32"/>
        </w:rPr>
      </w:pPr>
      <w:bookmarkStart w:id="16" w:name="_Toc3252"/>
      <w:r>
        <w:rPr>
          <w:rFonts w:hint="eastAsia" w:ascii="仿宋" w:hAnsi="仿宋" w:eastAsia="仿宋"/>
          <w:b/>
          <w:szCs w:val="32"/>
        </w:rPr>
        <w:t>（二）毕业生生涯发展路径状况</w:t>
      </w:r>
      <w:bookmarkEnd w:id="16"/>
    </w:p>
    <w:p w14:paraId="6AE7ACF7">
      <w:pPr>
        <w:ind w:firstLine="643" w:firstLineChars="200"/>
        <w:outlineLvl w:val="1"/>
        <w:rPr>
          <w:rFonts w:hint="eastAsia" w:ascii="仿宋" w:hAnsi="仿宋" w:eastAsia="仿宋"/>
          <w:b/>
          <w:szCs w:val="32"/>
        </w:rPr>
      </w:pPr>
      <w:bookmarkStart w:id="17" w:name="_Toc6990"/>
      <w:r>
        <w:rPr>
          <w:rFonts w:hint="eastAsia" w:ascii="仿宋" w:hAnsi="仿宋" w:eastAsia="仿宋"/>
          <w:b/>
          <w:szCs w:val="32"/>
        </w:rPr>
        <w:t>（三）在校生对课程设置教学的意见</w:t>
      </w:r>
      <w:bookmarkEnd w:id="17"/>
    </w:p>
    <w:p w14:paraId="176F994F">
      <w:pPr>
        <w:ind w:firstLine="643" w:firstLineChars="200"/>
        <w:outlineLvl w:val="1"/>
        <w:rPr>
          <w:rFonts w:hint="eastAsia" w:ascii="仿宋" w:hAnsi="仿宋" w:eastAsia="仿宋"/>
          <w:b/>
          <w:szCs w:val="32"/>
        </w:rPr>
      </w:pPr>
      <w:bookmarkStart w:id="18" w:name="_Toc397"/>
      <w:r>
        <w:rPr>
          <w:rFonts w:hint="eastAsia" w:ascii="仿宋" w:hAnsi="仿宋" w:eastAsia="仿宋"/>
          <w:b/>
          <w:szCs w:val="32"/>
        </w:rPr>
        <w:t>（四）普通本科人才培养方案编制状况</w:t>
      </w:r>
      <w:bookmarkEnd w:id="18"/>
    </w:p>
    <w:p w14:paraId="51D56347">
      <w:pPr>
        <w:ind w:firstLine="643" w:firstLineChars="200"/>
        <w:outlineLvl w:val="1"/>
        <w:rPr>
          <w:rFonts w:hint="default" w:ascii="仿宋" w:hAnsi="仿宋" w:eastAsia="仿宋"/>
          <w:b/>
          <w:szCs w:val="32"/>
          <w:lang w:val="en-US" w:eastAsia="zh-CN"/>
        </w:rPr>
      </w:pPr>
      <w:bookmarkStart w:id="19" w:name="_Toc24607"/>
      <w:r>
        <w:rPr>
          <w:rFonts w:hint="eastAsia" w:ascii="仿宋" w:hAnsi="仿宋" w:eastAsia="仿宋"/>
          <w:b/>
          <w:szCs w:val="32"/>
        </w:rPr>
        <w:t>（五）高水平职业院校人才培养方案编制状况</w:t>
      </w:r>
      <w:bookmarkEnd w:id="19"/>
    </w:p>
    <w:p w14:paraId="57320CCB">
      <w:pPr>
        <w:ind w:firstLine="643" w:firstLineChars="200"/>
        <w:outlineLvl w:val="0"/>
        <w:rPr>
          <w:rFonts w:hint="eastAsia" w:ascii="仿宋" w:hAnsi="仿宋" w:eastAsia="仿宋"/>
          <w:b/>
          <w:szCs w:val="32"/>
        </w:rPr>
      </w:pPr>
      <w:bookmarkStart w:id="20" w:name="_Toc31276"/>
      <w:r>
        <w:rPr>
          <w:rFonts w:hint="eastAsia" w:ascii="仿宋" w:hAnsi="仿宋" w:eastAsia="仿宋"/>
          <w:b/>
          <w:szCs w:val="32"/>
          <w:lang w:val="en-US" w:eastAsia="zh-CN"/>
        </w:rPr>
        <w:t>四</w:t>
      </w:r>
      <w:r>
        <w:rPr>
          <w:rFonts w:hint="eastAsia" w:ascii="仿宋" w:hAnsi="仿宋" w:eastAsia="仿宋"/>
          <w:b/>
          <w:szCs w:val="32"/>
        </w:rPr>
        <w:t>、</w:t>
      </w:r>
      <w:bookmarkStart w:id="21" w:name="_Toc11085024"/>
      <w:r>
        <w:rPr>
          <w:rFonts w:hint="eastAsia" w:ascii="仿宋" w:hAnsi="仿宋" w:eastAsia="仿宋"/>
          <w:b/>
          <w:szCs w:val="32"/>
        </w:rPr>
        <w:t>调研方式</w:t>
      </w:r>
      <w:bookmarkEnd w:id="21"/>
      <w:r>
        <w:rPr>
          <w:rFonts w:hint="eastAsia" w:ascii="仿宋" w:hAnsi="仿宋" w:eastAsia="仿宋"/>
          <w:b/>
          <w:szCs w:val="32"/>
        </w:rPr>
        <w:t>方法</w:t>
      </w:r>
      <w:bookmarkEnd w:id="20"/>
    </w:p>
    <w:p w14:paraId="03C93704">
      <w:pPr>
        <w:ind w:firstLine="643" w:firstLineChars="200"/>
        <w:outlineLvl w:val="1"/>
        <w:rPr>
          <w:rFonts w:hint="eastAsia" w:ascii="仿宋" w:hAnsi="仿宋" w:eastAsia="仿宋"/>
          <w:b/>
          <w:szCs w:val="32"/>
        </w:rPr>
      </w:pPr>
      <w:bookmarkStart w:id="22" w:name="_Toc3497"/>
      <w:r>
        <w:rPr>
          <w:rFonts w:hint="eastAsia" w:ascii="仿宋" w:hAnsi="仿宋" w:eastAsia="仿宋"/>
          <w:b/>
          <w:szCs w:val="32"/>
        </w:rPr>
        <w:t>（一）问卷调查</w:t>
      </w:r>
      <w:bookmarkEnd w:id="22"/>
    </w:p>
    <w:p w14:paraId="675A1B1E">
      <w:pPr>
        <w:spacing w:line="288" w:lineRule="auto"/>
        <w:ind w:firstLine="640" w:firstLineChars="200"/>
        <w:rPr>
          <w:rFonts w:hint="default" w:ascii="仿宋" w:hAnsi="仿宋" w:eastAsia="仿宋" w:cs="楷体"/>
          <w:b w:val="0"/>
          <w:bCs w:val="0"/>
          <w:szCs w:val="32"/>
          <w:lang w:val="en-US" w:eastAsia="zh-CN"/>
        </w:rPr>
      </w:pPr>
      <w:r>
        <w:rPr>
          <w:rFonts w:hint="eastAsia" w:ascii="仿宋" w:hAnsi="仿宋" w:eastAsia="仿宋" w:cs="楷体"/>
          <w:b w:val="0"/>
          <w:bCs w:val="0"/>
          <w:szCs w:val="32"/>
          <w:lang w:val="en-US" w:eastAsia="zh-CN"/>
        </w:rPr>
        <w:t>本次调研一共发放三份调查问卷，分别针对了行业企业从业人员、专业毕业生、专业在校生。</w:t>
      </w:r>
    </w:p>
    <w:p w14:paraId="46C736EB">
      <w:pPr>
        <w:ind w:firstLine="643" w:firstLineChars="200"/>
        <w:outlineLvl w:val="1"/>
        <w:rPr>
          <w:rFonts w:hint="eastAsia" w:ascii="仿宋" w:hAnsi="仿宋" w:eastAsia="仿宋"/>
          <w:b/>
          <w:szCs w:val="32"/>
        </w:rPr>
      </w:pPr>
      <w:bookmarkStart w:id="23" w:name="_Toc25975"/>
      <w:r>
        <w:rPr>
          <w:rFonts w:hint="eastAsia" w:ascii="仿宋" w:hAnsi="仿宋" w:eastAsia="仿宋"/>
          <w:b/>
          <w:szCs w:val="32"/>
          <w:lang w:eastAsia="zh-CN"/>
        </w:rPr>
        <w:t>（</w:t>
      </w:r>
      <w:r>
        <w:rPr>
          <w:rFonts w:hint="eastAsia" w:ascii="仿宋" w:hAnsi="仿宋" w:eastAsia="仿宋"/>
          <w:b/>
          <w:szCs w:val="32"/>
          <w:lang w:val="en-US" w:eastAsia="zh-CN"/>
        </w:rPr>
        <w:t>二</w:t>
      </w:r>
      <w:r>
        <w:rPr>
          <w:rFonts w:hint="eastAsia" w:ascii="仿宋" w:hAnsi="仿宋" w:eastAsia="仿宋"/>
          <w:b/>
          <w:szCs w:val="32"/>
          <w:lang w:eastAsia="zh-CN"/>
        </w:rPr>
        <w:t>）</w:t>
      </w:r>
      <w:r>
        <w:rPr>
          <w:rFonts w:hint="eastAsia" w:ascii="仿宋" w:hAnsi="仿宋" w:eastAsia="仿宋"/>
          <w:b/>
          <w:szCs w:val="32"/>
        </w:rPr>
        <w:t>网络查询</w:t>
      </w:r>
      <w:bookmarkEnd w:id="23"/>
    </w:p>
    <w:p w14:paraId="4BC42334">
      <w:pPr>
        <w:numPr>
          <w:ilvl w:val="0"/>
          <w:numId w:val="0"/>
        </w:numPr>
        <w:spacing w:line="288" w:lineRule="auto"/>
        <w:rPr>
          <w:rFonts w:hint="default" w:ascii="仿宋" w:hAnsi="仿宋" w:eastAsia="仿宋" w:cs="楷体"/>
          <w:b/>
          <w:bCs/>
          <w:szCs w:val="32"/>
          <w:lang w:val="en-US" w:eastAsia="zh-CN"/>
        </w:rPr>
      </w:pPr>
      <w:r>
        <w:rPr>
          <w:rFonts w:hint="eastAsia" w:ascii="仿宋" w:hAnsi="仿宋" w:eastAsia="仿宋" w:cs="楷体"/>
          <w:b/>
          <w:bCs/>
          <w:szCs w:val="32"/>
          <w:lang w:val="en-US" w:eastAsia="zh-CN"/>
        </w:rPr>
        <w:t xml:space="preserve">     </w:t>
      </w:r>
      <w:r>
        <w:rPr>
          <w:rFonts w:hint="eastAsia" w:ascii="仿宋" w:hAnsi="仿宋" w:eastAsia="仿宋" w:cs="楷体"/>
          <w:b w:val="0"/>
          <w:bCs w:val="0"/>
          <w:szCs w:val="32"/>
          <w:lang w:val="en-US" w:eastAsia="zh-CN"/>
        </w:rPr>
        <w:t>本次调研业查阅了大量的网络资讯信息，并采用了职教桥职教桥专业调研大数据分析平台的数据。</w:t>
      </w:r>
    </w:p>
    <w:p w14:paraId="37384672">
      <w:pPr>
        <w:numPr>
          <w:ilvl w:val="0"/>
          <w:numId w:val="3"/>
        </w:numPr>
        <w:ind w:firstLine="643" w:firstLineChars="200"/>
        <w:outlineLvl w:val="1"/>
        <w:rPr>
          <w:rFonts w:hint="eastAsia" w:ascii="仿宋" w:hAnsi="仿宋" w:eastAsia="仿宋"/>
          <w:b/>
          <w:szCs w:val="32"/>
          <w:lang w:eastAsia="zh-CN"/>
        </w:rPr>
      </w:pPr>
      <w:bookmarkStart w:id="24" w:name="_Toc16817"/>
      <w:r>
        <w:rPr>
          <w:rFonts w:hint="eastAsia" w:ascii="仿宋" w:hAnsi="仿宋" w:eastAsia="仿宋"/>
          <w:b/>
          <w:szCs w:val="32"/>
          <w:lang w:eastAsia="zh-CN"/>
        </w:rPr>
        <w:t>查阅文献</w:t>
      </w:r>
      <w:bookmarkEnd w:id="24"/>
    </w:p>
    <w:p w14:paraId="4DDBABDA">
      <w:pPr>
        <w:numPr>
          <w:ilvl w:val="0"/>
          <w:numId w:val="0"/>
        </w:numPr>
        <w:outlineLvl w:val="9"/>
        <w:rPr>
          <w:rFonts w:hint="default" w:ascii="仿宋" w:hAnsi="仿宋" w:eastAsia="仿宋"/>
          <w:b/>
          <w:szCs w:val="32"/>
          <w:lang w:val="en-US" w:eastAsia="zh-CN"/>
        </w:rPr>
      </w:pPr>
      <w:r>
        <w:rPr>
          <w:rFonts w:hint="eastAsia" w:ascii="仿宋" w:hAnsi="仿宋" w:eastAsia="仿宋"/>
          <w:b/>
          <w:szCs w:val="32"/>
          <w:lang w:val="en-US" w:eastAsia="zh-CN"/>
        </w:rPr>
        <w:t xml:space="preserve">     </w:t>
      </w:r>
      <w:r>
        <w:rPr>
          <w:rFonts w:hint="eastAsia" w:ascii="仿宋" w:hAnsi="仿宋" w:eastAsia="仿宋"/>
          <w:b w:val="0"/>
          <w:bCs/>
          <w:szCs w:val="32"/>
          <w:lang w:val="en-US" w:eastAsia="zh-CN"/>
        </w:rPr>
        <w:t>本次调研查阅大量文献数据，并采用了部分研究结论数据。</w:t>
      </w:r>
    </w:p>
    <w:p w14:paraId="5AE9E20E">
      <w:pPr>
        <w:ind w:firstLine="643" w:firstLineChars="200"/>
        <w:outlineLvl w:val="0"/>
        <w:rPr>
          <w:rFonts w:hint="eastAsia" w:ascii="仿宋" w:hAnsi="仿宋" w:eastAsia="仿宋"/>
          <w:b/>
          <w:szCs w:val="32"/>
        </w:rPr>
      </w:pPr>
      <w:bookmarkStart w:id="25" w:name="_Toc29380"/>
      <w:r>
        <w:rPr>
          <w:rFonts w:hint="eastAsia" w:ascii="仿宋" w:hAnsi="仿宋" w:eastAsia="仿宋"/>
          <w:b/>
          <w:szCs w:val="32"/>
          <w:lang w:val="en-US" w:eastAsia="zh-CN"/>
        </w:rPr>
        <w:t>五</w:t>
      </w:r>
      <w:r>
        <w:rPr>
          <w:rFonts w:hint="eastAsia" w:ascii="仿宋" w:hAnsi="仿宋" w:eastAsia="仿宋"/>
          <w:b/>
          <w:szCs w:val="32"/>
        </w:rPr>
        <w:t>、调研结果分析</w:t>
      </w:r>
      <w:bookmarkEnd w:id="25"/>
    </w:p>
    <w:p w14:paraId="0B7C16B8">
      <w:pPr>
        <w:ind w:firstLine="643" w:firstLineChars="200"/>
        <w:outlineLvl w:val="1"/>
        <w:rPr>
          <w:rFonts w:hint="eastAsia" w:ascii="仿宋" w:hAnsi="仿宋" w:eastAsia="仿宋"/>
          <w:b/>
          <w:szCs w:val="32"/>
          <w:lang w:val="en-US" w:eastAsia="zh-CN"/>
        </w:rPr>
      </w:pPr>
      <w:bookmarkStart w:id="26" w:name="_Toc31796"/>
      <w:r>
        <w:rPr>
          <w:rFonts w:hint="eastAsia" w:ascii="仿宋" w:hAnsi="仿宋" w:eastAsia="仿宋"/>
          <w:b/>
          <w:szCs w:val="32"/>
          <w:lang w:eastAsia="zh-CN"/>
        </w:rPr>
        <w:t>（</w:t>
      </w:r>
      <w:r>
        <w:rPr>
          <w:rFonts w:hint="eastAsia" w:ascii="仿宋" w:hAnsi="仿宋" w:eastAsia="仿宋"/>
          <w:b/>
          <w:szCs w:val="32"/>
          <w:lang w:val="en-US" w:eastAsia="zh-CN"/>
        </w:rPr>
        <w:t>一</w:t>
      </w:r>
      <w:r>
        <w:rPr>
          <w:rFonts w:hint="eastAsia" w:ascii="仿宋" w:hAnsi="仿宋" w:eastAsia="仿宋"/>
          <w:b/>
          <w:szCs w:val="32"/>
          <w:lang w:eastAsia="zh-CN"/>
        </w:rPr>
        <w:t>）</w:t>
      </w:r>
      <w:r>
        <w:rPr>
          <w:rFonts w:hint="eastAsia" w:ascii="仿宋" w:hAnsi="仿宋" w:eastAsia="仿宋"/>
          <w:b/>
          <w:szCs w:val="32"/>
          <w:lang w:val="en-US" w:eastAsia="zh-CN"/>
        </w:rPr>
        <w:t>专业面向产业的发展现状及趋势</w:t>
      </w:r>
      <w:bookmarkEnd w:id="26"/>
    </w:p>
    <w:p w14:paraId="0EAE9732">
      <w:pPr>
        <w:ind w:firstLine="643" w:firstLineChars="200"/>
        <w:outlineLvl w:val="2"/>
        <w:rPr>
          <w:rFonts w:hint="eastAsia" w:ascii="仿宋" w:hAnsi="仿宋" w:eastAsia="仿宋"/>
          <w:b/>
          <w:szCs w:val="32"/>
          <w:lang w:val="en-US" w:eastAsia="zh-CN"/>
        </w:rPr>
      </w:pPr>
      <w:r>
        <w:rPr>
          <w:rFonts w:hint="eastAsia" w:ascii="仿宋" w:hAnsi="仿宋" w:eastAsia="仿宋"/>
          <w:b/>
          <w:szCs w:val="32"/>
          <w:lang w:val="en-US" w:eastAsia="zh-CN"/>
        </w:rPr>
        <w:t>1、产业的发展现状</w:t>
      </w:r>
    </w:p>
    <w:p w14:paraId="5C5BFA38">
      <w:pPr>
        <w:ind w:firstLine="643" w:firstLineChars="200"/>
        <w:outlineLvl w:val="2"/>
        <w:rPr>
          <w:rFonts w:hint="eastAsia" w:ascii="仿宋" w:hAnsi="仿宋" w:eastAsia="仿宋"/>
          <w:b/>
          <w:szCs w:val="32"/>
          <w:lang w:val="en-US" w:eastAsia="zh-CN"/>
        </w:rPr>
      </w:pPr>
      <w:bookmarkStart w:id="27" w:name="_Toc812"/>
      <w:r>
        <w:rPr>
          <w:rFonts w:hint="eastAsia" w:ascii="仿宋" w:hAnsi="仿宋" w:eastAsia="仿宋"/>
          <w:b/>
          <w:szCs w:val="32"/>
          <w:lang w:val="en-US" w:eastAsia="zh-CN"/>
        </w:rPr>
        <w:t>（1）行业规模持续扩张与结构优化</w:t>
      </w:r>
      <w:bookmarkEnd w:id="27"/>
    </w:p>
    <w:p w14:paraId="28A22BED">
      <w:pPr>
        <w:ind w:firstLine="640" w:firstLineChars="200"/>
        <w:outlineLvl w:val="9"/>
        <w:rPr>
          <w:rFonts w:hint="eastAsia" w:ascii="仿宋" w:hAnsi="仿宋" w:eastAsia="仿宋"/>
          <w:b w:val="0"/>
          <w:bCs/>
          <w:szCs w:val="32"/>
          <w:lang w:val="en-US" w:eastAsia="zh-CN"/>
        </w:rPr>
      </w:pPr>
      <w:bookmarkStart w:id="28" w:name="_Toc14039"/>
      <w:r>
        <w:rPr>
          <w:rFonts w:hint="eastAsia" w:ascii="仿宋" w:hAnsi="仿宋" w:eastAsia="仿宋"/>
          <w:b w:val="0"/>
          <w:bCs/>
          <w:szCs w:val="32"/>
          <w:lang w:val="en-US" w:eastAsia="zh-CN"/>
        </w:rPr>
        <w:t>截至 2024 年底，全国会计师事务所数量达 10993 家，同比增长 3.08%，其中普通合伙制占比 61.29%，行业集中度进一步提升。会计服务市场规模突破万亿元，2024 年中国货物贸易进出口总值达 43.85 万亿元，同比增长 5%，其中对东盟进出口增长 9%，连续 5 年互为第一大贸易伙伴，跨境会计服务需求显著增加。</w:t>
      </w:r>
      <w:bookmarkEnd w:id="28"/>
    </w:p>
    <w:p w14:paraId="6C8EC97D">
      <w:pPr>
        <w:ind w:firstLine="643" w:firstLineChars="200"/>
        <w:outlineLvl w:val="2"/>
        <w:rPr>
          <w:rFonts w:hint="eastAsia" w:ascii="仿宋" w:hAnsi="仿宋" w:eastAsia="仿宋"/>
          <w:b/>
          <w:szCs w:val="32"/>
          <w:lang w:val="en-US" w:eastAsia="zh-CN"/>
        </w:rPr>
      </w:pPr>
      <w:bookmarkStart w:id="29" w:name="_Toc21871"/>
      <w:r>
        <w:rPr>
          <w:rFonts w:hint="eastAsia" w:ascii="仿宋" w:hAnsi="仿宋" w:eastAsia="仿宋"/>
          <w:b/>
          <w:szCs w:val="32"/>
          <w:lang w:val="en-US" w:eastAsia="zh-CN"/>
        </w:rPr>
        <w:t>（2）技术驱动行业深度变革</w:t>
      </w:r>
      <w:bookmarkEnd w:id="29"/>
    </w:p>
    <w:p w14:paraId="17C8F5EA">
      <w:pPr>
        <w:ind w:firstLine="640" w:firstLineChars="200"/>
        <w:outlineLvl w:val="9"/>
        <w:rPr>
          <w:rFonts w:hint="eastAsia" w:ascii="仿宋" w:hAnsi="仿宋" w:eastAsia="仿宋"/>
          <w:b/>
          <w:szCs w:val="32"/>
          <w:lang w:val="en-US" w:eastAsia="zh-CN"/>
        </w:rPr>
      </w:pPr>
      <w:bookmarkStart w:id="30" w:name="_Toc18190"/>
      <w:r>
        <w:rPr>
          <w:rFonts w:hint="eastAsia" w:ascii="仿宋" w:hAnsi="仿宋" w:eastAsia="仿宋"/>
          <w:b w:val="0"/>
          <w:bCs/>
          <w:szCs w:val="32"/>
          <w:lang w:val="en-US" w:eastAsia="zh-CN"/>
        </w:rPr>
        <w:t>人工智能通用大模型首次登顶 “2025 年影响中国会计行业的十大信息技术”，在智能审核、财务分析、风险评估等场景初步应用。例如，畅捷通通过 DeepSeek 大模型实现智能做账机器人的复杂任务分解，自动生成记账凭证并完成风险检查。多模态数据分析技术入选当前影响技术，推动财务数据与业务数据的深度融合。</w:t>
      </w:r>
      <w:bookmarkEnd w:id="30"/>
    </w:p>
    <w:p w14:paraId="057AC39A">
      <w:pPr>
        <w:ind w:firstLine="643" w:firstLineChars="200"/>
        <w:outlineLvl w:val="2"/>
        <w:rPr>
          <w:rFonts w:hint="eastAsia" w:ascii="仿宋" w:hAnsi="仿宋" w:eastAsia="仿宋"/>
          <w:b/>
          <w:szCs w:val="32"/>
          <w:lang w:val="en-US" w:eastAsia="zh-CN"/>
        </w:rPr>
      </w:pPr>
      <w:bookmarkStart w:id="31" w:name="_Toc23408"/>
      <w:r>
        <w:rPr>
          <w:rFonts w:hint="eastAsia" w:ascii="仿宋" w:hAnsi="仿宋" w:eastAsia="仿宋"/>
          <w:b/>
          <w:szCs w:val="32"/>
          <w:lang w:val="en-US" w:eastAsia="zh-CN"/>
        </w:rPr>
        <w:t>（3）国际化与合规化并行</w:t>
      </w:r>
      <w:bookmarkEnd w:id="31"/>
    </w:p>
    <w:p w14:paraId="50F7F496">
      <w:pPr>
        <w:ind w:firstLine="640" w:firstLineChars="200"/>
        <w:outlineLvl w:val="9"/>
        <w:rPr>
          <w:rFonts w:hint="eastAsia" w:ascii="仿宋" w:hAnsi="仿宋" w:eastAsia="仿宋"/>
          <w:b w:val="0"/>
          <w:bCs/>
          <w:szCs w:val="32"/>
          <w:lang w:val="en-US" w:eastAsia="zh-CN"/>
        </w:rPr>
      </w:pPr>
      <w:bookmarkStart w:id="32" w:name="_Toc11836"/>
      <w:r>
        <w:rPr>
          <w:rFonts w:hint="eastAsia" w:ascii="仿宋" w:hAnsi="仿宋" w:eastAsia="仿宋"/>
          <w:b w:val="0"/>
          <w:bCs/>
          <w:szCs w:val="32"/>
          <w:lang w:val="en-US" w:eastAsia="zh-CN"/>
        </w:rPr>
        <w:t>中国企业会计准则与国际财务报告准则（IFRS）趋同度超 90%，超过 500 家境外上市企业按国际准则编制财报。全球最低企业所得税规则（支柱二）在 30 多个税收辖区生效，2025 年起覆盖跨国企业利润的近 90%，企业需加强国际税务合规能力。</w:t>
      </w:r>
      <w:bookmarkEnd w:id="32"/>
    </w:p>
    <w:p w14:paraId="7936B060">
      <w:pPr>
        <w:ind w:firstLine="643" w:firstLineChars="200"/>
        <w:outlineLvl w:val="2"/>
        <w:rPr>
          <w:rFonts w:hint="eastAsia" w:ascii="仿宋" w:hAnsi="仿宋" w:eastAsia="仿宋"/>
          <w:b/>
          <w:szCs w:val="32"/>
          <w:lang w:val="en-US" w:eastAsia="zh-CN"/>
        </w:rPr>
      </w:pPr>
      <w:bookmarkStart w:id="33" w:name="_Toc25327"/>
      <w:r>
        <w:rPr>
          <w:rFonts w:hint="eastAsia" w:ascii="仿宋" w:hAnsi="仿宋" w:eastAsia="仿宋"/>
          <w:b/>
          <w:szCs w:val="32"/>
          <w:lang w:val="en-US" w:eastAsia="zh-CN"/>
        </w:rPr>
        <w:t>（4）人才结构分化加剧</w:t>
      </w:r>
      <w:bookmarkEnd w:id="33"/>
    </w:p>
    <w:p w14:paraId="51D5C660">
      <w:pPr>
        <w:ind w:firstLine="640" w:firstLineChars="200"/>
        <w:outlineLvl w:val="9"/>
        <w:rPr>
          <w:rFonts w:hint="eastAsia" w:ascii="仿宋" w:hAnsi="仿宋" w:eastAsia="仿宋"/>
          <w:b w:val="0"/>
          <w:bCs/>
          <w:szCs w:val="32"/>
          <w:lang w:val="en-US" w:eastAsia="zh-CN"/>
        </w:rPr>
      </w:pPr>
      <w:bookmarkStart w:id="34" w:name="_Toc26300"/>
      <w:r>
        <w:rPr>
          <w:rFonts w:hint="eastAsia" w:ascii="仿宋" w:hAnsi="仿宋" w:eastAsia="仿宋"/>
          <w:b w:val="0"/>
          <w:bCs/>
          <w:szCs w:val="32"/>
          <w:lang w:val="en-US" w:eastAsia="zh-CN"/>
        </w:rPr>
        <w:t>普通会计人员过剩与高端人才短缺并存。2024 年注册会计师人数达 10.5 万人，同比增长 2.93%，但具备 AI 应用、ESG 报告、国际税收等复合能力的人才缺口扩大。广西等区域市场显示，中小企业仍以基础核算需求为主，但对数字化技能的要求显著提升。</w:t>
      </w:r>
      <w:bookmarkEnd w:id="34"/>
    </w:p>
    <w:p w14:paraId="42ECD0DC">
      <w:pPr>
        <w:ind w:firstLine="643" w:firstLineChars="200"/>
        <w:outlineLvl w:val="2"/>
        <w:rPr>
          <w:rFonts w:hint="eastAsia" w:ascii="仿宋" w:hAnsi="仿宋" w:eastAsia="仿宋"/>
          <w:b/>
          <w:szCs w:val="32"/>
          <w:lang w:val="en-US" w:eastAsia="zh-CN"/>
        </w:rPr>
      </w:pPr>
      <w:bookmarkStart w:id="35" w:name="_Toc14867"/>
      <w:r>
        <w:rPr>
          <w:rFonts w:hint="eastAsia" w:ascii="仿宋" w:hAnsi="仿宋" w:eastAsia="仿宋"/>
          <w:b/>
          <w:szCs w:val="32"/>
          <w:lang w:val="en-US" w:eastAsia="zh-CN"/>
        </w:rPr>
        <w:t>（5）数字化转型进入深水区</w:t>
      </w:r>
      <w:bookmarkEnd w:id="35"/>
    </w:p>
    <w:p w14:paraId="7F862940">
      <w:pPr>
        <w:ind w:firstLine="640" w:firstLineChars="200"/>
        <w:outlineLvl w:val="9"/>
        <w:rPr>
          <w:rFonts w:hint="eastAsia" w:ascii="仿宋" w:hAnsi="仿宋" w:eastAsia="仿宋"/>
          <w:b w:val="0"/>
          <w:bCs/>
          <w:szCs w:val="32"/>
          <w:lang w:val="en-US" w:eastAsia="zh-CN"/>
        </w:rPr>
      </w:pPr>
      <w:bookmarkStart w:id="36" w:name="_Toc5769"/>
      <w:r>
        <w:rPr>
          <w:rFonts w:hint="eastAsia" w:ascii="仿宋" w:hAnsi="仿宋" w:eastAsia="仿宋"/>
          <w:b w:val="0"/>
          <w:bCs/>
          <w:szCs w:val="32"/>
          <w:lang w:val="en-US" w:eastAsia="zh-CN"/>
        </w:rPr>
        <w:t>云计算、区块链技术在财务共享中心、电子会计档案管理中广泛应用。襄阳市 “数据增信” 平台通过区块链加密传输企业会计数据，帮助小微企业获得无抵押贷款，累计授信超 9235 万元。但中小企业数字化投入仍不足，仅 46% 的小微企业部署智能财税云平台。</w:t>
      </w:r>
      <w:bookmarkEnd w:id="36"/>
    </w:p>
    <w:p w14:paraId="2E4D8793">
      <w:pPr>
        <w:numPr>
          <w:ilvl w:val="0"/>
          <w:numId w:val="4"/>
        </w:numPr>
        <w:ind w:left="-3" w:leftChars="0" w:firstLine="643" w:firstLineChars="0"/>
        <w:outlineLvl w:val="2"/>
        <w:rPr>
          <w:rFonts w:hint="eastAsia" w:ascii="仿宋" w:hAnsi="仿宋" w:eastAsia="仿宋"/>
          <w:b/>
          <w:szCs w:val="32"/>
          <w:lang w:val="en-US" w:eastAsia="zh-CN"/>
        </w:rPr>
      </w:pPr>
      <w:r>
        <w:rPr>
          <w:rFonts w:hint="eastAsia" w:ascii="仿宋" w:hAnsi="仿宋" w:eastAsia="仿宋"/>
          <w:b/>
          <w:szCs w:val="32"/>
          <w:lang w:val="en-US" w:eastAsia="zh-CN"/>
        </w:rPr>
        <w:t>产业的发展趋势</w:t>
      </w:r>
    </w:p>
    <w:p w14:paraId="2068E571">
      <w:pPr>
        <w:numPr>
          <w:ilvl w:val="0"/>
          <w:numId w:val="0"/>
        </w:numPr>
        <w:ind w:firstLine="643" w:firstLineChars="200"/>
        <w:outlineLvl w:val="2"/>
        <w:rPr>
          <w:rFonts w:hint="default" w:ascii="仿宋" w:hAnsi="仿宋" w:eastAsia="仿宋"/>
          <w:b/>
          <w:szCs w:val="32"/>
          <w:lang w:val="en-US" w:eastAsia="zh-CN"/>
        </w:rPr>
      </w:pPr>
      <w:bookmarkStart w:id="37" w:name="_Toc21222"/>
      <w:r>
        <w:rPr>
          <w:rFonts w:hint="eastAsia" w:ascii="仿宋" w:hAnsi="仿宋" w:eastAsia="仿宋"/>
          <w:b/>
          <w:szCs w:val="32"/>
          <w:lang w:val="en-US" w:eastAsia="zh-CN"/>
        </w:rPr>
        <w:t>（1）</w:t>
      </w:r>
      <w:r>
        <w:rPr>
          <w:rFonts w:hint="default" w:ascii="仿宋" w:hAnsi="仿宋" w:eastAsia="仿宋"/>
          <w:b/>
          <w:szCs w:val="32"/>
          <w:lang w:val="en-US" w:eastAsia="zh-CN"/>
        </w:rPr>
        <w:t>技术重塑行业生态</w:t>
      </w:r>
      <w:bookmarkEnd w:id="37"/>
    </w:p>
    <w:p w14:paraId="3D177624">
      <w:pPr>
        <w:numPr>
          <w:ilvl w:val="0"/>
          <w:numId w:val="0"/>
        </w:numPr>
        <w:ind w:firstLine="640" w:firstLineChars="200"/>
        <w:outlineLvl w:val="9"/>
        <w:rPr>
          <w:rFonts w:hint="default" w:ascii="仿宋" w:hAnsi="仿宋" w:eastAsia="仿宋"/>
          <w:b w:val="0"/>
          <w:bCs/>
          <w:szCs w:val="32"/>
          <w:lang w:val="en-US" w:eastAsia="zh-CN"/>
        </w:rPr>
      </w:pPr>
      <w:bookmarkStart w:id="38" w:name="_Toc8892"/>
      <w:r>
        <w:rPr>
          <w:rFonts w:hint="default" w:ascii="仿宋" w:hAnsi="仿宋" w:eastAsia="仿宋"/>
          <w:b w:val="0"/>
          <w:bCs/>
          <w:szCs w:val="32"/>
          <w:lang w:val="en-US" w:eastAsia="zh-CN"/>
        </w:rPr>
        <w:t>人工智能大模型将从 “工具” 升级为 “赋能者”，推动会计工作从流程自动化向决策智能化跃迁。未来 3-5 年，生成式 AI、财务数字员工、AI Agent 等技术将重构财务组织模式，如自动生成财务分析报告、智能税务筹划等。多模态数据分析技术将实现文本、图像、语音等非结构化数据的深度挖掘，助力企业精细化管理。</w:t>
      </w:r>
      <w:bookmarkEnd w:id="38"/>
    </w:p>
    <w:p w14:paraId="39D8F044">
      <w:pPr>
        <w:numPr>
          <w:ilvl w:val="0"/>
          <w:numId w:val="0"/>
        </w:numPr>
        <w:ind w:firstLine="643" w:firstLineChars="200"/>
        <w:outlineLvl w:val="2"/>
        <w:rPr>
          <w:rFonts w:hint="default" w:ascii="仿宋" w:hAnsi="仿宋" w:eastAsia="仿宋"/>
          <w:b/>
          <w:szCs w:val="32"/>
          <w:lang w:val="en-US" w:eastAsia="zh-CN"/>
        </w:rPr>
      </w:pPr>
      <w:bookmarkStart w:id="39" w:name="_Toc13911"/>
      <w:r>
        <w:rPr>
          <w:rFonts w:hint="eastAsia" w:ascii="仿宋" w:hAnsi="仿宋" w:eastAsia="仿宋"/>
          <w:b/>
          <w:szCs w:val="32"/>
          <w:lang w:val="en-US" w:eastAsia="zh-CN"/>
        </w:rPr>
        <w:t>（2）</w:t>
      </w:r>
      <w:r>
        <w:rPr>
          <w:rFonts w:hint="default" w:ascii="仿宋" w:hAnsi="仿宋" w:eastAsia="仿宋"/>
          <w:b/>
          <w:szCs w:val="32"/>
          <w:lang w:val="en-US" w:eastAsia="zh-CN"/>
        </w:rPr>
        <w:t>国际化与合规化要求升级</w:t>
      </w:r>
      <w:bookmarkEnd w:id="39"/>
    </w:p>
    <w:p w14:paraId="141E758E">
      <w:pPr>
        <w:numPr>
          <w:ilvl w:val="0"/>
          <w:numId w:val="0"/>
        </w:numPr>
        <w:ind w:firstLine="640" w:firstLineChars="200"/>
        <w:outlineLvl w:val="9"/>
        <w:rPr>
          <w:rFonts w:hint="default" w:ascii="仿宋" w:hAnsi="仿宋" w:eastAsia="仿宋"/>
          <w:b w:val="0"/>
          <w:bCs/>
          <w:szCs w:val="32"/>
          <w:lang w:val="en-US" w:eastAsia="zh-CN"/>
        </w:rPr>
      </w:pPr>
      <w:bookmarkStart w:id="40" w:name="_Toc21795"/>
      <w:r>
        <w:rPr>
          <w:rFonts w:hint="default" w:ascii="仿宋" w:hAnsi="仿宋" w:eastAsia="仿宋"/>
          <w:b w:val="0"/>
          <w:bCs/>
          <w:szCs w:val="32"/>
          <w:lang w:val="en-US" w:eastAsia="zh-CN"/>
        </w:rPr>
        <w:t>全球最低税规则实施后，企业需建立跨境税务合规体系，对国际税收协定、转让定价等专业服务需求激增。同时，ESG 报告成为企业披露重点，2025 年 A 股上市公司 ESG 披露率预计超 80%，推动会计服务向可持续发展咨询延伸。</w:t>
      </w:r>
      <w:bookmarkEnd w:id="40"/>
    </w:p>
    <w:p w14:paraId="43A137F7">
      <w:pPr>
        <w:numPr>
          <w:ilvl w:val="0"/>
          <w:numId w:val="0"/>
        </w:numPr>
        <w:ind w:firstLine="643" w:firstLineChars="200"/>
        <w:outlineLvl w:val="2"/>
        <w:rPr>
          <w:rFonts w:hint="default" w:ascii="仿宋" w:hAnsi="仿宋" w:eastAsia="仿宋"/>
          <w:b/>
          <w:szCs w:val="32"/>
          <w:lang w:val="en-US" w:eastAsia="zh-CN"/>
        </w:rPr>
      </w:pPr>
      <w:bookmarkStart w:id="41" w:name="_Toc795"/>
      <w:r>
        <w:rPr>
          <w:rFonts w:hint="eastAsia" w:ascii="仿宋" w:hAnsi="仿宋" w:eastAsia="仿宋"/>
          <w:b/>
          <w:szCs w:val="32"/>
          <w:lang w:val="en-US" w:eastAsia="zh-CN"/>
        </w:rPr>
        <w:t>（3）</w:t>
      </w:r>
      <w:r>
        <w:rPr>
          <w:rFonts w:hint="default" w:ascii="仿宋" w:hAnsi="仿宋" w:eastAsia="仿宋"/>
          <w:b/>
          <w:szCs w:val="32"/>
          <w:lang w:val="en-US" w:eastAsia="zh-CN"/>
        </w:rPr>
        <w:t>行业整合与专业化并行</w:t>
      </w:r>
      <w:bookmarkEnd w:id="41"/>
    </w:p>
    <w:p w14:paraId="786D212A">
      <w:pPr>
        <w:numPr>
          <w:ilvl w:val="0"/>
          <w:numId w:val="0"/>
        </w:numPr>
        <w:ind w:firstLine="640" w:firstLineChars="200"/>
        <w:outlineLvl w:val="9"/>
        <w:rPr>
          <w:rFonts w:hint="default" w:ascii="仿宋" w:hAnsi="仿宋" w:eastAsia="仿宋"/>
          <w:b w:val="0"/>
          <w:bCs/>
          <w:szCs w:val="32"/>
          <w:lang w:val="en-US" w:eastAsia="zh-CN"/>
        </w:rPr>
      </w:pPr>
      <w:bookmarkStart w:id="42" w:name="_Toc21646"/>
      <w:r>
        <w:rPr>
          <w:rFonts w:hint="default" w:ascii="仿宋" w:hAnsi="仿宋" w:eastAsia="仿宋"/>
          <w:b w:val="0"/>
          <w:bCs/>
          <w:szCs w:val="32"/>
          <w:lang w:val="en-US" w:eastAsia="zh-CN"/>
        </w:rPr>
        <w:t>大型会计师事务所通过并购整合扩大服务边界，而中小机构聚焦细分领域（如跨境电商财税、新能源行业审计）形成差异化优势。广西等区域市场呈现 “头部机构主导 + 本土特色服务” 格局，如针对东盟贸易的跨境税务解决方案。</w:t>
      </w:r>
      <w:bookmarkEnd w:id="42"/>
    </w:p>
    <w:p w14:paraId="00A3C541">
      <w:pPr>
        <w:numPr>
          <w:ilvl w:val="0"/>
          <w:numId w:val="0"/>
        </w:numPr>
        <w:ind w:firstLine="643" w:firstLineChars="200"/>
        <w:outlineLvl w:val="2"/>
        <w:rPr>
          <w:rFonts w:hint="default" w:ascii="仿宋" w:hAnsi="仿宋" w:eastAsia="仿宋"/>
          <w:b/>
          <w:szCs w:val="32"/>
          <w:lang w:val="en-US" w:eastAsia="zh-CN"/>
        </w:rPr>
      </w:pPr>
      <w:bookmarkStart w:id="43" w:name="_Toc7888"/>
      <w:r>
        <w:rPr>
          <w:rFonts w:hint="eastAsia" w:ascii="仿宋" w:hAnsi="仿宋" w:eastAsia="仿宋"/>
          <w:b/>
          <w:szCs w:val="32"/>
          <w:lang w:val="en-US" w:eastAsia="zh-CN"/>
        </w:rPr>
        <w:t>（4）</w:t>
      </w:r>
      <w:r>
        <w:rPr>
          <w:rFonts w:hint="default" w:ascii="仿宋" w:hAnsi="仿宋" w:eastAsia="仿宋"/>
          <w:b/>
          <w:szCs w:val="32"/>
          <w:lang w:val="en-US" w:eastAsia="zh-CN"/>
        </w:rPr>
        <w:t>人才需求向复合型转型</w:t>
      </w:r>
      <w:bookmarkEnd w:id="43"/>
    </w:p>
    <w:p w14:paraId="6A464AA3">
      <w:pPr>
        <w:numPr>
          <w:ilvl w:val="0"/>
          <w:numId w:val="0"/>
        </w:numPr>
        <w:ind w:firstLine="640" w:firstLineChars="200"/>
        <w:outlineLvl w:val="9"/>
        <w:rPr>
          <w:rFonts w:hint="default" w:ascii="仿宋" w:hAnsi="仿宋" w:eastAsia="仿宋"/>
          <w:b w:val="0"/>
          <w:bCs/>
          <w:szCs w:val="32"/>
          <w:lang w:val="en-US" w:eastAsia="zh-CN"/>
        </w:rPr>
      </w:pPr>
      <w:bookmarkStart w:id="44" w:name="_Toc21035"/>
      <w:r>
        <w:rPr>
          <w:rFonts w:hint="default" w:ascii="仿宋" w:hAnsi="仿宋" w:eastAsia="仿宋"/>
          <w:b w:val="0"/>
          <w:bCs/>
          <w:szCs w:val="32"/>
          <w:lang w:val="en-US" w:eastAsia="zh-CN"/>
        </w:rPr>
        <w:t>会计人员需具备 “财务 + 技术 + 战略” 能力：掌握大模型工具应用、熟悉国际会计准则、参与企业战略决策。广西 2025 年春季人才交流大会显示，新能源、生物医药等新兴产业对具备行业知识的财务人才需求增长 30%。</w:t>
      </w:r>
      <w:bookmarkEnd w:id="44"/>
    </w:p>
    <w:p w14:paraId="664EB234">
      <w:pPr>
        <w:numPr>
          <w:ilvl w:val="0"/>
          <w:numId w:val="0"/>
        </w:numPr>
        <w:ind w:firstLine="643" w:firstLineChars="200"/>
        <w:outlineLvl w:val="2"/>
        <w:rPr>
          <w:rFonts w:hint="default" w:ascii="仿宋" w:hAnsi="仿宋" w:eastAsia="仿宋"/>
          <w:b/>
          <w:szCs w:val="32"/>
          <w:lang w:val="en-US" w:eastAsia="zh-CN"/>
        </w:rPr>
      </w:pPr>
      <w:bookmarkStart w:id="45" w:name="_Toc22506"/>
      <w:r>
        <w:rPr>
          <w:rFonts w:hint="eastAsia" w:ascii="仿宋" w:hAnsi="仿宋" w:eastAsia="仿宋"/>
          <w:b/>
          <w:szCs w:val="32"/>
          <w:lang w:val="en-US" w:eastAsia="zh-CN"/>
        </w:rPr>
        <w:t>（5）</w:t>
      </w:r>
      <w:r>
        <w:rPr>
          <w:rFonts w:hint="default" w:ascii="仿宋" w:hAnsi="仿宋" w:eastAsia="仿宋"/>
          <w:b/>
          <w:szCs w:val="32"/>
          <w:lang w:val="en-US" w:eastAsia="zh-CN"/>
        </w:rPr>
        <w:t>数据治理与价值挖掘</w:t>
      </w:r>
      <w:bookmarkEnd w:id="45"/>
    </w:p>
    <w:p w14:paraId="0A82D2AD">
      <w:pPr>
        <w:numPr>
          <w:ilvl w:val="0"/>
          <w:numId w:val="0"/>
        </w:numPr>
        <w:ind w:firstLine="640" w:firstLineChars="200"/>
        <w:outlineLvl w:val="9"/>
        <w:rPr>
          <w:rFonts w:hint="default" w:ascii="仿宋" w:hAnsi="仿宋" w:eastAsia="仿宋"/>
          <w:b w:val="0"/>
          <w:bCs/>
          <w:szCs w:val="32"/>
          <w:lang w:val="en-US" w:eastAsia="zh-CN"/>
        </w:rPr>
      </w:pPr>
      <w:bookmarkStart w:id="46" w:name="_Toc9387"/>
      <w:r>
        <w:rPr>
          <w:rFonts w:hint="default" w:ascii="仿宋" w:hAnsi="仿宋" w:eastAsia="仿宋"/>
          <w:b w:val="0"/>
          <w:bCs/>
          <w:szCs w:val="32"/>
          <w:lang w:val="en-US" w:eastAsia="zh-CN"/>
        </w:rPr>
        <w:t>会计数据资产化趋势明显，企业需建立数据标准、治理体系和安全防护机制。如襄阳市 “数据增信” 平台通过标准化会计数据，帮助企业获得融资，验证了数据资产的商业价值。未来，数据合规、隐私计算等技术将成为会计服务新增长点。</w:t>
      </w:r>
      <w:bookmarkEnd w:id="46"/>
    </w:p>
    <w:p w14:paraId="27512807">
      <w:pPr>
        <w:ind w:firstLine="643" w:firstLineChars="200"/>
        <w:outlineLvl w:val="1"/>
        <w:rPr>
          <w:rFonts w:hint="eastAsia" w:ascii="仿宋" w:hAnsi="仿宋" w:eastAsia="仿宋"/>
          <w:b/>
          <w:szCs w:val="32"/>
        </w:rPr>
      </w:pPr>
      <w:bookmarkStart w:id="47" w:name="_Toc28"/>
      <w:r>
        <w:rPr>
          <w:rFonts w:hint="eastAsia" w:ascii="仿宋" w:hAnsi="仿宋" w:eastAsia="仿宋"/>
          <w:b/>
          <w:szCs w:val="32"/>
        </w:rPr>
        <w:t>（</w:t>
      </w:r>
      <w:r>
        <w:rPr>
          <w:rFonts w:hint="eastAsia" w:ascii="仿宋" w:hAnsi="仿宋" w:eastAsia="仿宋"/>
          <w:b/>
          <w:szCs w:val="32"/>
          <w:lang w:val="en-US" w:eastAsia="zh-CN"/>
        </w:rPr>
        <w:t>二</w:t>
      </w:r>
      <w:r>
        <w:rPr>
          <w:rFonts w:hint="eastAsia" w:ascii="仿宋" w:hAnsi="仿宋" w:eastAsia="仿宋"/>
          <w:b/>
          <w:szCs w:val="32"/>
        </w:rPr>
        <w:t>）行业企业需求</w:t>
      </w:r>
      <w:bookmarkEnd w:id="47"/>
    </w:p>
    <w:p w14:paraId="4EDFEBDE">
      <w:pPr>
        <w:ind w:firstLine="643" w:firstLineChars="200"/>
        <w:outlineLvl w:val="2"/>
        <w:rPr>
          <w:rFonts w:hint="eastAsia" w:ascii="仿宋" w:hAnsi="仿宋" w:eastAsia="仿宋"/>
          <w:b/>
          <w:szCs w:val="32"/>
          <w:lang w:val="en-US" w:eastAsia="zh-CN"/>
        </w:rPr>
      </w:pPr>
      <w:r>
        <w:rPr>
          <w:rFonts w:hint="eastAsia" w:ascii="仿宋" w:hAnsi="仿宋" w:eastAsia="仿宋"/>
          <w:b/>
          <w:szCs w:val="32"/>
          <w:lang w:val="en-US" w:eastAsia="zh-CN"/>
        </w:rPr>
        <w:t>1.代表性合作单位对技能人才需求情况</w:t>
      </w:r>
    </w:p>
    <w:p w14:paraId="4AAA47FC">
      <w:pPr>
        <w:ind w:firstLine="643" w:firstLineChars="200"/>
        <w:outlineLvl w:val="3"/>
        <w:rPr>
          <w:rFonts w:hint="eastAsia" w:ascii="仿宋" w:hAnsi="仿宋" w:eastAsia="仿宋"/>
          <w:b/>
          <w:szCs w:val="32"/>
          <w:lang w:val="en-US" w:eastAsia="zh-CN"/>
        </w:rPr>
      </w:pPr>
      <w:bookmarkStart w:id="48" w:name="_Toc16119"/>
      <w:r>
        <w:rPr>
          <w:rFonts w:hint="eastAsia" w:ascii="仿宋" w:hAnsi="仿宋" w:eastAsia="仿宋"/>
          <w:b/>
          <w:szCs w:val="32"/>
          <w:lang w:val="en-US" w:eastAsia="zh-CN"/>
        </w:rPr>
        <w:t>（1）调整岗位动态结构</w:t>
      </w:r>
      <w:bookmarkEnd w:id="48"/>
    </w:p>
    <w:p w14:paraId="23480230">
      <w:pPr>
        <w:ind w:firstLine="640" w:firstLineChars="200"/>
        <w:outlineLvl w:val="9"/>
        <w:rPr>
          <w:rFonts w:hint="eastAsia" w:ascii="仿宋" w:hAnsi="仿宋" w:eastAsia="仿宋"/>
          <w:b w:val="0"/>
          <w:bCs/>
          <w:szCs w:val="32"/>
          <w:lang w:val="en-US" w:eastAsia="zh-CN"/>
        </w:rPr>
      </w:pPr>
      <w:bookmarkStart w:id="49" w:name="_Toc25078"/>
      <w:r>
        <w:rPr>
          <w:rFonts w:hint="eastAsia" w:ascii="仿宋" w:hAnsi="仿宋" w:eastAsia="仿宋"/>
          <w:b w:val="0"/>
          <w:bCs/>
          <w:szCs w:val="32"/>
          <w:lang w:val="en-US" w:eastAsia="zh-CN"/>
        </w:rPr>
        <w:t>传统核算岗位（如出纳、总账会计）需求下降，而财务分析、税务筹划、数据治理等岗位需求上升。职业本科侧重培养财务分析专员、税务筹划师，高职聚焦智能核算与风控，中职强化基础操作与合规意识。广西制造业企业对成本会计、供应链财务人才需求增长显著，而服务业更关注税务数字化能力。</w:t>
      </w:r>
      <w:bookmarkEnd w:id="49"/>
    </w:p>
    <w:p w14:paraId="46E2B5D9">
      <w:pPr>
        <w:ind w:firstLine="643" w:firstLineChars="200"/>
        <w:outlineLvl w:val="3"/>
        <w:rPr>
          <w:rFonts w:hint="eastAsia" w:ascii="仿宋" w:hAnsi="仿宋" w:eastAsia="仿宋"/>
          <w:b/>
          <w:szCs w:val="32"/>
          <w:lang w:val="en-US" w:eastAsia="zh-CN"/>
        </w:rPr>
      </w:pPr>
      <w:bookmarkStart w:id="50" w:name="_Toc27172"/>
      <w:r>
        <w:rPr>
          <w:rFonts w:hint="eastAsia" w:ascii="仿宋" w:hAnsi="仿宋" w:eastAsia="仿宋"/>
          <w:b/>
          <w:szCs w:val="32"/>
          <w:lang w:val="en-US" w:eastAsia="zh-CN"/>
        </w:rPr>
        <w:t>（2）技能要求迭代升级</w:t>
      </w:r>
      <w:bookmarkEnd w:id="50"/>
    </w:p>
    <w:p w14:paraId="66380303">
      <w:pPr>
        <w:numPr>
          <w:ilvl w:val="0"/>
          <w:numId w:val="5"/>
        </w:numPr>
        <w:ind w:left="420" w:leftChars="0" w:hanging="420" w:firstLineChars="0"/>
        <w:outlineLvl w:val="9"/>
        <w:rPr>
          <w:rFonts w:hint="eastAsia" w:ascii="仿宋" w:hAnsi="仿宋" w:eastAsia="仿宋"/>
          <w:b w:val="0"/>
          <w:bCs/>
          <w:szCs w:val="32"/>
          <w:lang w:val="en-US" w:eastAsia="zh-CN"/>
        </w:rPr>
      </w:pPr>
      <w:bookmarkStart w:id="51" w:name="_Toc29190"/>
      <w:r>
        <w:rPr>
          <w:rFonts w:hint="eastAsia" w:ascii="仿宋" w:hAnsi="仿宋" w:eastAsia="仿宋"/>
          <w:b w:val="0"/>
          <w:bCs/>
          <w:szCs w:val="32"/>
          <w:lang w:val="en-US" w:eastAsia="zh-CN"/>
        </w:rPr>
        <w:t>技术能力：熟练运用 AI 工具（如智能审核系统、大模型分析平台）、掌握 Python/R 等数据处理语言，熟悉 RPA 流程自动化。</w:t>
      </w:r>
      <w:bookmarkEnd w:id="51"/>
    </w:p>
    <w:p w14:paraId="2494D3E8">
      <w:pPr>
        <w:numPr>
          <w:ilvl w:val="0"/>
          <w:numId w:val="5"/>
        </w:numPr>
        <w:ind w:left="420" w:leftChars="0" w:hanging="420" w:firstLineChars="0"/>
        <w:outlineLvl w:val="9"/>
        <w:rPr>
          <w:rFonts w:hint="eastAsia" w:ascii="仿宋" w:hAnsi="仿宋" w:eastAsia="仿宋"/>
          <w:b w:val="0"/>
          <w:bCs/>
          <w:szCs w:val="32"/>
          <w:lang w:val="en-US" w:eastAsia="zh-CN"/>
        </w:rPr>
      </w:pPr>
      <w:bookmarkStart w:id="52" w:name="_Toc23886"/>
      <w:r>
        <w:rPr>
          <w:rFonts w:hint="eastAsia" w:ascii="仿宋" w:hAnsi="仿宋" w:eastAsia="仿宋"/>
          <w:b w:val="0"/>
          <w:bCs/>
          <w:szCs w:val="32"/>
          <w:lang w:val="en-US" w:eastAsia="zh-CN"/>
        </w:rPr>
        <w:t>国际化能力：精通国际会计准则（IFRS）、熟悉全球最低税规则，具备跨境税务处理经验。</w:t>
      </w:r>
      <w:bookmarkEnd w:id="52"/>
    </w:p>
    <w:p w14:paraId="05533B43">
      <w:pPr>
        <w:numPr>
          <w:ilvl w:val="0"/>
          <w:numId w:val="5"/>
        </w:numPr>
        <w:ind w:left="420" w:leftChars="0" w:hanging="420" w:firstLineChars="0"/>
        <w:outlineLvl w:val="9"/>
        <w:rPr>
          <w:rFonts w:hint="eastAsia" w:ascii="仿宋" w:hAnsi="仿宋" w:eastAsia="仿宋"/>
          <w:b w:val="0"/>
          <w:bCs/>
          <w:szCs w:val="32"/>
          <w:lang w:val="en-US" w:eastAsia="zh-CN"/>
        </w:rPr>
      </w:pPr>
      <w:bookmarkStart w:id="53" w:name="_Toc9758"/>
      <w:r>
        <w:rPr>
          <w:rFonts w:hint="eastAsia" w:ascii="仿宋" w:hAnsi="仿宋" w:eastAsia="仿宋"/>
          <w:b w:val="0"/>
          <w:bCs/>
          <w:szCs w:val="32"/>
          <w:lang w:val="en-US" w:eastAsia="zh-CN"/>
        </w:rPr>
        <w:t>ESG 能力：掌握可持续发展报告框架（如 TCFD、ISSB），能开展碳足迹核算与披露。</w:t>
      </w:r>
      <w:bookmarkEnd w:id="53"/>
    </w:p>
    <w:p w14:paraId="5A5E7356">
      <w:pPr>
        <w:ind w:firstLine="643" w:firstLineChars="200"/>
        <w:outlineLvl w:val="3"/>
        <w:rPr>
          <w:rFonts w:hint="eastAsia" w:ascii="仿宋" w:hAnsi="仿宋" w:eastAsia="仿宋"/>
          <w:b/>
          <w:szCs w:val="32"/>
          <w:lang w:val="en-US" w:eastAsia="zh-CN"/>
        </w:rPr>
      </w:pPr>
      <w:bookmarkStart w:id="54" w:name="_Toc12652"/>
      <w:r>
        <w:rPr>
          <w:rFonts w:hint="eastAsia" w:ascii="仿宋" w:hAnsi="仿宋" w:eastAsia="仿宋"/>
          <w:b/>
          <w:szCs w:val="32"/>
          <w:lang w:val="en-US" w:eastAsia="zh-CN"/>
        </w:rPr>
        <w:t>（3）区域需求特色显著</w:t>
      </w:r>
      <w:bookmarkEnd w:id="54"/>
    </w:p>
    <w:p w14:paraId="0FBD2F34">
      <w:pPr>
        <w:ind w:firstLine="640" w:firstLineChars="200"/>
        <w:outlineLvl w:val="9"/>
        <w:rPr>
          <w:rFonts w:hint="eastAsia" w:ascii="仿宋" w:hAnsi="仿宋" w:eastAsia="仿宋"/>
          <w:b w:val="0"/>
          <w:bCs/>
          <w:szCs w:val="32"/>
          <w:lang w:val="en-US" w:eastAsia="zh-CN"/>
        </w:rPr>
      </w:pPr>
      <w:bookmarkStart w:id="55" w:name="_Toc3379"/>
      <w:r>
        <w:rPr>
          <w:rFonts w:hint="eastAsia" w:ascii="仿宋" w:hAnsi="仿宋" w:eastAsia="仿宋"/>
          <w:b w:val="0"/>
          <w:bCs/>
          <w:szCs w:val="32"/>
          <w:lang w:val="en-US" w:eastAsia="zh-CN"/>
        </w:rPr>
        <w:t>广西企业因东盟贸易优势，对跨境结算、东盟国家税收政策、多语言财务沟通能力需求突出。例如，外贸企业要求会计人员熟悉 RCEP 原产地规则，能处理跨境电商税务合规问题。</w:t>
      </w:r>
      <w:bookmarkEnd w:id="55"/>
    </w:p>
    <w:p w14:paraId="725CDA63">
      <w:pPr>
        <w:numPr>
          <w:ilvl w:val="0"/>
          <w:numId w:val="0"/>
        </w:numPr>
        <w:ind w:firstLine="643" w:firstLineChars="200"/>
        <w:outlineLvl w:val="2"/>
        <w:rPr>
          <w:rFonts w:hint="eastAsia" w:ascii="仿宋" w:hAnsi="仿宋" w:eastAsia="仿宋"/>
          <w:b/>
          <w:szCs w:val="32"/>
          <w:lang w:val="en-US" w:eastAsia="zh-CN"/>
        </w:rPr>
      </w:pPr>
      <w:r>
        <w:rPr>
          <w:rFonts w:hint="eastAsia" w:ascii="仿宋" w:hAnsi="仿宋" w:eastAsia="仿宋"/>
          <w:b/>
          <w:szCs w:val="32"/>
          <w:lang w:val="en-US" w:eastAsia="zh-CN"/>
        </w:rPr>
        <w:t>2.代表性合作单位对培训和技术服务需求情况</w:t>
      </w:r>
    </w:p>
    <w:p w14:paraId="216B754C">
      <w:pPr>
        <w:numPr>
          <w:ilvl w:val="0"/>
          <w:numId w:val="0"/>
        </w:numPr>
        <w:ind w:firstLine="643" w:firstLineChars="200"/>
        <w:outlineLvl w:val="3"/>
        <w:rPr>
          <w:rFonts w:hint="eastAsia" w:ascii="仿宋" w:hAnsi="仿宋" w:eastAsia="仿宋"/>
          <w:b/>
          <w:szCs w:val="32"/>
          <w:lang w:val="en-US" w:eastAsia="zh-CN"/>
        </w:rPr>
      </w:pPr>
      <w:bookmarkStart w:id="56" w:name="_Toc14296"/>
      <w:r>
        <w:rPr>
          <w:rFonts w:hint="eastAsia" w:ascii="仿宋" w:hAnsi="仿宋" w:eastAsia="仿宋"/>
          <w:b/>
          <w:szCs w:val="32"/>
          <w:lang w:val="en-US" w:eastAsia="zh-CN"/>
        </w:rPr>
        <w:t>（1）精准化的技能培训</w:t>
      </w:r>
      <w:bookmarkEnd w:id="56"/>
    </w:p>
    <w:p w14:paraId="0DA9DEF0">
      <w:pPr>
        <w:numPr>
          <w:ilvl w:val="0"/>
          <w:numId w:val="0"/>
        </w:numPr>
        <w:ind w:firstLine="640" w:firstLineChars="200"/>
        <w:outlineLvl w:val="9"/>
        <w:rPr>
          <w:rFonts w:hint="eastAsia" w:ascii="仿宋" w:hAnsi="仿宋" w:eastAsia="仿宋"/>
          <w:b w:val="0"/>
          <w:bCs/>
          <w:szCs w:val="32"/>
          <w:lang w:val="en-US" w:eastAsia="zh-CN"/>
        </w:rPr>
      </w:pPr>
      <w:bookmarkStart w:id="57" w:name="_Toc4193"/>
      <w:r>
        <w:rPr>
          <w:rFonts w:hint="eastAsia" w:ascii="仿宋" w:hAnsi="仿宋" w:eastAsia="仿宋"/>
          <w:b w:val="0"/>
          <w:bCs/>
          <w:szCs w:val="32"/>
          <w:lang w:val="en-US" w:eastAsia="zh-CN"/>
        </w:rPr>
        <w:t>政策更新：全球最低税、中国与东盟税收协定等国际税收规则培训需求旺盛。</w:t>
      </w:r>
      <w:bookmarkEnd w:id="57"/>
    </w:p>
    <w:p w14:paraId="7AE72FB4">
      <w:pPr>
        <w:numPr>
          <w:ilvl w:val="0"/>
          <w:numId w:val="0"/>
        </w:numPr>
        <w:ind w:firstLine="640" w:firstLineChars="200"/>
        <w:outlineLvl w:val="9"/>
        <w:rPr>
          <w:rFonts w:hint="eastAsia" w:ascii="仿宋" w:hAnsi="仿宋" w:eastAsia="仿宋"/>
          <w:b w:val="0"/>
          <w:bCs/>
          <w:szCs w:val="32"/>
          <w:lang w:val="en-US" w:eastAsia="zh-CN"/>
        </w:rPr>
      </w:pPr>
      <w:bookmarkStart w:id="58" w:name="_Toc13355"/>
      <w:r>
        <w:rPr>
          <w:rFonts w:hint="eastAsia" w:ascii="仿宋" w:hAnsi="仿宋" w:eastAsia="仿宋"/>
          <w:b w:val="0"/>
          <w:bCs/>
          <w:szCs w:val="32"/>
          <w:lang w:val="en-US" w:eastAsia="zh-CN"/>
        </w:rPr>
        <w:t>技术应用：AI 大模型操作（如 DeepSeek 在智能做账中的应用）、多模态数据分析工具（如 Power BI）成为企业培训重点。</w:t>
      </w:r>
      <w:bookmarkEnd w:id="58"/>
    </w:p>
    <w:p w14:paraId="3B388143">
      <w:pPr>
        <w:numPr>
          <w:ilvl w:val="0"/>
          <w:numId w:val="0"/>
        </w:numPr>
        <w:ind w:firstLine="640" w:firstLineChars="200"/>
        <w:outlineLvl w:val="9"/>
        <w:rPr>
          <w:rFonts w:hint="eastAsia" w:ascii="仿宋" w:hAnsi="仿宋" w:eastAsia="仿宋"/>
          <w:b w:val="0"/>
          <w:bCs/>
          <w:szCs w:val="32"/>
          <w:lang w:val="en-US" w:eastAsia="zh-CN"/>
        </w:rPr>
      </w:pPr>
      <w:bookmarkStart w:id="59" w:name="_Toc29386"/>
      <w:r>
        <w:rPr>
          <w:rFonts w:hint="eastAsia" w:ascii="仿宋" w:hAnsi="仿宋" w:eastAsia="仿宋"/>
          <w:b w:val="0"/>
          <w:bCs/>
          <w:szCs w:val="32"/>
          <w:lang w:val="en-US" w:eastAsia="zh-CN"/>
        </w:rPr>
        <w:t>ESG 能力：碳排放核算、可持续发展报告编制等课程需求激增，广西企业尤其关注绿色金融与东盟 ESG 标准对接。</w:t>
      </w:r>
      <w:bookmarkEnd w:id="59"/>
    </w:p>
    <w:p w14:paraId="7BFF04AC">
      <w:pPr>
        <w:numPr>
          <w:ilvl w:val="0"/>
          <w:numId w:val="0"/>
        </w:numPr>
        <w:outlineLvl w:val="3"/>
        <w:rPr>
          <w:rFonts w:hint="eastAsia" w:ascii="仿宋" w:hAnsi="仿宋" w:eastAsia="仿宋"/>
          <w:b/>
          <w:szCs w:val="32"/>
          <w:lang w:val="en-US" w:eastAsia="zh-CN"/>
        </w:rPr>
      </w:pPr>
      <w:bookmarkStart w:id="60" w:name="_Toc25195"/>
      <w:r>
        <w:rPr>
          <w:rFonts w:hint="eastAsia" w:ascii="仿宋" w:hAnsi="仿宋" w:eastAsia="仿宋"/>
          <w:b/>
          <w:szCs w:val="32"/>
          <w:lang w:val="en-US" w:eastAsia="zh-CN"/>
        </w:rPr>
        <w:t>（2）定制化的技术服务</w:t>
      </w:r>
      <w:bookmarkEnd w:id="60"/>
    </w:p>
    <w:p w14:paraId="5388DF57">
      <w:pPr>
        <w:numPr>
          <w:ilvl w:val="0"/>
          <w:numId w:val="5"/>
        </w:numPr>
        <w:ind w:left="420" w:leftChars="0" w:hanging="420" w:firstLineChars="0"/>
        <w:outlineLvl w:val="9"/>
        <w:rPr>
          <w:rFonts w:hint="eastAsia" w:ascii="仿宋" w:hAnsi="仿宋" w:eastAsia="仿宋"/>
          <w:b w:val="0"/>
          <w:bCs/>
          <w:szCs w:val="32"/>
          <w:lang w:val="en-US" w:eastAsia="zh-CN"/>
        </w:rPr>
      </w:pPr>
      <w:bookmarkStart w:id="61" w:name="_Toc21695"/>
      <w:r>
        <w:rPr>
          <w:rFonts w:hint="eastAsia" w:ascii="仿宋" w:hAnsi="仿宋" w:eastAsia="仿宋"/>
          <w:b w:val="0"/>
          <w:bCs/>
          <w:szCs w:val="32"/>
          <w:lang w:val="en-US" w:eastAsia="zh-CN"/>
        </w:rPr>
        <w:t>智能系统部署：中小企业需求集中在 SaaS 化财务软件（如畅捷通好会计）和 RPA 流程自动化工具，而大型企业倾向定制化智能财务平台。</w:t>
      </w:r>
      <w:bookmarkEnd w:id="61"/>
    </w:p>
    <w:p w14:paraId="52CA6A0C">
      <w:pPr>
        <w:numPr>
          <w:ilvl w:val="0"/>
          <w:numId w:val="5"/>
        </w:numPr>
        <w:ind w:left="420" w:leftChars="0" w:hanging="420" w:firstLineChars="0"/>
        <w:outlineLvl w:val="9"/>
        <w:rPr>
          <w:rFonts w:hint="eastAsia" w:ascii="仿宋" w:hAnsi="仿宋" w:eastAsia="仿宋"/>
          <w:b w:val="0"/>
          <w:bCs/>
          <w:szCs w:val="32"/>
          <w:lang w:val="en-US" w:eastAsia="zh-CN"/>
        </w:rPr>
      </w:pPr>
      <w:bookmarkStart w:id="62" w:name="_Toc12042"/>
      <w:r>
        <w:rPr>
          <w:rFonts w:hint="eastAsia" w:ascii="仿宋" w:hAnsi="仿宋" w:eastAsia="仿宋"/>
          <w:b w:val="0"/>
          <w:bCs/>
          <w:szCs w:val="32"/>
          <w:lang w:val="en-US" w:eastAsia="zh-CN"/>
        </w:rPr>
        <w:t>数据治理支持：企业希望获得会计数据标准化、风险预警模型构建等服务，如襄阳市 “数据增信” 模式帮助小微企业提升数据质量。</w:t>
      </w:r>
      <w:bookmarkEnd w:id="62"/>
    </w:p>
    <w:p w14:paraId="78840827">
      <w:pPr>
        <w:numPr>
          <w:ilvl w:val="0"/>
          <w:numId w:val="5"/>
        </w:numPr>
        <w:ind w:left="420" w:leftChars="0" w:hanging="420" w:firstLineChars="0"/>
        <w:outlineLvl w:val="9"/>
        <w:rPr>
          <w:rFonts w:hint="eastAsia" w:ascii="仿宋" w:hAnsi="仿宋" w:eastAsia="仿宋"/>
          <w:b w:val="0"/>
          <w:bCs/>
          <w:szCs w:val="32"/>
          <w:lang w:val="en-US" w:eastAsia="zh-CN"/>
        </w:rPr>
      </w:pPr>
      <w:bookmarkStart w:id="63" w:name="_Toc28036"/>
      <w:r>
        <w:rPr>
          <w:rFonts w:hint="eastAsia" w:ascii="仿宋" w:hAnsi="仿宋" w:eastAsia="仿宋"/>
          <w:b w:val="0"/>
          <w:bCs/>
          <w:szCs w:val="32"/>
          <w:lang w:val="en-US" w:eastAsia="zh-CN"/>
        </w:rPr>
        <w:t>跨境合规解决方案：针对东盟市场的跨境税务筹划、外汇风险管理等服务需求增长，广西企业尤其关注越南、泰国等国的本地化财税支持。</w:t>
      </w:r>
      <w:bookmarkEnd w:id="63"/>
    </w:p>
    <w:p w14:paraId="4090B3FD">
      <w:pPr>
        <w:numPr>
          <w:ilvl w:val="0"/>
          <w:numId w:val="0"/>
        </w:numPr>
        <w:ind w:leftChars="0"/>
        <w:outlineLvl w:val="3"/>
        <w:rPr>
          <w:rFonts w:hint="eastAsia" w:ascii="仿宋" w:hAnsi="仿宋" w:eastAsia="仿宋"/>
          <w:b w:val="0"/>
          <w:bCs/>
          <w:szCs w:val="32"/>
          <w:lang w:val="en-US" w:eastAsia="zh-CN"/>
        </w:rPr>
      </w:pPr>
      <w:bookmarkStart w:id="64" w:name="_Toc26226"/>
      <w:r>
        <w:rPr>
          <w:rFonts w:hint="eastAsia" w:ascii="仿宋" w:hAnsi="仿宋" w:eastAsia="仿宋"/>
          <w:b w:val="0"/>
          <w:bCs/>
          <w:szCs w:val="32"/>
          <w:lang w:val="en-US" w:eastAsia="zh-CN"/>
        </w:rPr>
        <w:t>（3）校企合作深化</w:t>
      </w:r>
      <w:bookmarkEnd w:id="64"/>
    </w:p>
    <w:p w14:paraId="79BBF460">
      <w:pPr>
        <w:numPr>
          <w:ilvl w:val="0"/>
          <w:numId w:val="0"/>
        </w:numPr>
        <w:ind w:leftChars="0" w:firstLine="640" w:firstLineChars="200"/>
        <w:outlineLvl w:val="9"/>
        <w:rPr>
          <w:rFonts w:hint="eastAsia" w:ascii="仿宋" w:hAnsi="仿宋" w:eastAsia="仿宋"/>
          <w:b w:val="0"/>
          <w:bCs/>
          <w:szCs w:val="32"/>
          <w:lang w:val="en-US" w:eastAsia="zh-CN"/>
        </w:rPr>
      </w:pPr>
      <w:bookmarkStart w:id="65" w:name="_Toc18759"/>
      <w:r>
        <w:rPr>
          <w:rFonts w:hint="eastAsia" w:ascii="仿宋" w:hAnsi="仿宋" w:eastAsia="仿宋"/>
          <w:b w:val="0"/>
          <w:bCs/>
          <w:szCs w:val="32"/>
          <w:lang w:val="en-US" w:eastAsia="zh-CN"/>
        </w:rPr>
        <w:t>企业与院校共建 “AI + 会计” 实训基地，联合开发课程（如《智能财务决策》《跨境税务实务》）。广西部分高校与东盟国家院校开展联合培养，强化学生跨文化沟通与区域经贸知识。</w:t>
      </w:r>
      <w:bookmarkEnd w:id="65"/>
    </w:p>
    <w:p w14:paraId="36725AC7">
      <w:pPr>
        <w:numPr>
          <w:ilvl w:val="0"/>
          <w:numId w:val="0"/>
        </w:numPr>
        <w:outlineLvl w:val="3"/>
        <w:rPr>
          <w:rFonts w:hint="eastAsia" w:ascii="仿宋" w:hAnsi="仿宋" w:eastAsia="仿宋"/>
          <w:b/>
          <w:szCs w:val="32"/>
          <w:lang w:val="en-US" w:eastAsia="zh-CN"/>
        </w:rPr>
      </w:pPr>
      <w:bookmarkStart w:id="66" w:name="_Toc14298"/>
      <w:r>
        <w:rPr>
          <w:rFonts w:hint="eastAsia" w:ascii="仿宋" w:hAnsi="仿宋" w:eastAsia="仿宋"/>
          <w:b/>
          <w:szCs w:val="32"/>
          <w:lang w:val="en-US" w:eastAsia="zh-CN"/>
        </w:rPr>
        <w:t>（4）拓展新兴领域服务</w:t>
      </w:r>
      <w:bookmarkEnd w:id="66"/>
    </w:p>
    <w:p w14:paraId="50BE0DCD">
      <w:pPr>
        <w:numPr>
          <w:ilvl w:val="0"/>
          <w:numId w:val="0"/>
        </w:numPr>
        <w:ind w:firstLine="640" w:firstLineChars="200"/>
        <w:outlineLvl w:val="9"/>
        <w:rPr>
          <w:rFonts w:hint="eastAsia" w:ascii="仿宋" w:hAnsi="仿宋" w:eastAsia="仿宋"/>
          <w:b w:val="0"/>
          <w:bCs/>
          <w:szCs w:val="32"/>
          <w:lang w:val="en-US" w:eastAsia="zh-CN"/>
        </w:rPr>
      </w:pPr>
      <w:bookmarkStart w:id="67" w:name="_Toc26395"/>
      <w:r>
        <w:rPr>
          <w:rFonts w:hint="eastAsia" w:ascii="仿宋" w:hAnsi="仿宋" w:eastAsia="仿宋"/>
          <w:b w:val="0"/>
          <w:bCs/>
          <w:szCs w:val="32"/>
          <w:lang w:val="en-US" w:eastAsia="zh-CN"/>
        </w:rPr>
        <w:t>新能源、生物医药等新兴产业催生细分需求，如研发费用加计扣除合规、碳交易会计处理等。广西星煜新能源等企业要求会计人员熟悉光伏设备行业成本核算与政府补贴政策。</w:t>
      </w:r>
      <w:bookmarkEnd w:id="67"/>
    </w:p>
    <w:p w14:paraId="2A088E59">
      <w:pPr>
        <w:numPr>
          <w:ilvl w:val="0"/>
          <w:numId w:val="6"/>
        </w:numPr>
        <w:ind w:firstLine="643" w:firstLineChars="200"/>
        <w:outlineLvl w:val="1"/>
        <w:rPr>
          <w:rFonts w:hint="eastAsia" w:ascii="仿宋" w:hAnsi="仿宋" w:eastAsia="仿宋" w:cs="仿宋"/>
          <w:b/>
          <w:szCs w:val="32"/>
          <w:lang w:val="en-US" w:eastAsia="zh-CN"/>
        </w:rPr>
      </w:pPr>
      <w:bookmarkStart w:id="68" w:name="_Toc28970"/>
      <w:r>
        <w:rPr>
          <w:rFonts w:hint="eastAsia" w:ascii="仿宋" w:hAnsi="仿宋" w:eastAsia="仿宋" w:cs="仿宋"/>
          <w:b/>
          <w:szCs w:val="32"/>
          <w:lang w:val="en-US" w:eastAsia="zh-CN"/>
        </w:rPr>
        <w:t>毕业生的建议</w:t>
      </w:r>
      <w:bookmarkEnd w:id="68"/>
    </w:p>
    <w:p w14:paraId="40F4B137">
      <w:p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本次调研了解毕业生的途径主要是通过发放调查问卷获取，因此我们主要分析调查问卷数据。</w:t>
      </w:r>
    </w:p>
    <w:p w14:paraId="0610781C">
      <w:pPr>
        <w:numPr>
          <w:ilvl w:val="0"/>
          <w:numId w:val="0"/>
        </w:numPr>
        <w:ind w:firstLine="643" w:firstLineChars="200"/>
        <w:outlineLvl w:val="2"/>
        <w:rPr>
          <w:rFonts w:hint="eastAsia" w:ascii="仿宋" w:hAnsi="仿宋" w:eastAsia="仿宋" w:cs="仿宋"/>
          <w:b/>
          <w:szCs w:val="32"/>
          <w:lang w:val="en-US" w:eastAsia="zh-CN"/>
        </w:rPr>
      </w:pPr>
      <w:bookmarkStart w:id="69" w:name="_Toc31671"/>
      <w:r>
        <w:rPr>
          <w:rFonts w:hint="eastAsia" w:ascii="仿宋" w:hAnsi="仿宋" w:eastAsia="仿宋" w:cs="仿宋"/>
          <w:b/>
          <w:szCs w:val="32"/>
          <w:lang w:val="en-US" w:eastAsia="zh-CN"/>
        </w:rPr>
        <w:t>1.调查问卷的基本情况</w:t>
      </w:r>
      <w:bookmarkEnd w:id="69"/>
    </w:p>
    <w:p w14:paraId="18E0F217">
      <w:pPr>
        <w:numPr>
          <w:ilvl w:val="0"/>
          <w:numId w:val="0"/>
        </w:numPr>
        <w:ind w:firstLine="642"/>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本次调查主要针对会计及财务管理专业的毕业生，共计109名受访者，其中男性占比11.93%，女性占比88.07%。受访者的毕业时间跨度较大，从毕业1-3年到8年以上不等。</w:t>
      </w:r>
    </w:p>
    <w:p w14:paraId="09471A79">
      <w:pPr>
        <w:numPr>
          <w:ilvl w:val="0"/>
          <w:numId w:val="0"/>
        </w:numPr>
        <w:ind w:firstLine="642"/>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调查问卷涵盖了毕业生的基本信息（性别、年龄、毕业院校、专业、毕业时间）、在校期间的专业教育对工作帮助程度的评价、对工作最有帮助的课程、实践项目/实习经历的影响、第一份工作的相关性、目前所在行业及岗位、职业发展路径中的最大挑战、职业生涯中关键能力的重要性排序、工作中最常用到的技能或知识、对学校加强课程及课程设置的建议，以及是否建议开设大数据与会计交叉的跨学科课程等方面。</w:t>
      </w:r>
    </w:p>
    <w:p w14:paraId="25665750">
      <w:pPr>
        <w:numPr>
          <w:ilvl w:val="0"/>
          <w:numId w:val="0"/>
        </w:numPr>
        <w:ind w:firstLine="321" w:firstLineChars="100"/>
        <w:outlineLvl w:val="2"/>
        <w:rPr>
          <w:rFonts w:hint="eastAsia" w:ascii="仿宋" w:hAnsi="仿宋" w:eastAsia="仿宋" w:cs="仿宋"/>
          <w:b/>
          <w:bCs w:val="0"/>
          <w:szCs w:val="32"/>
          <w:lang w:val="en-US" w:eastAsia="zh-CN"/>
        </w:rPr>
      </w:pPr>
      <w:bookmarkStart w:id="70" w:name="_Toc30900"/>
      <w:r>
        <w:rPr>
          <w:rFonts w:hint="eastAsia" w:ascii="仿宋" w:hAnsi="仿宋" w:eastAsia="仿宋" w:cs="仿宋"/>
          <w:b/>
          <w:bCs w:val="0"/>
          <w:szCs w:val="32"/>
          <w:lang w:val="en-US" w:eastAsia="zh-CN"/>
        </w:rPr>
        <w:t>2.调查问卷的数据调查结果</w:t>
      </w:r>
      <w:bookmarkEnd w:id="70"/>
    </w:p>
    <w:p w14:paraId="3C029483">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大部分受访者认为在校期间的专业教育对工作有帮助，其中32.11%认为“非常有帮助”。</w:t>
      </w:r>
    </w:p>
    <w:p w14:paraId="7431CCAE">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对工作最有帮助的课程中，财务会计（72.48%）、会计基础（74.31%）、税法（66.97%）等课程占比较高。</w:t>
      </w:r>
    </w:p>
    <w:p w14:paraId="0292035D">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72.48%的受访者第一份工作与专业相关，主要集中在服务行业（34.86%）和制造业/生产（12.84%）。</w:t>
      </w:r>
    </w:p>
    <w:p w14:paraId="52653003">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职业发展路径中最大的挑战是“行业变化快，需要不断学习”（47.71%）。</w:t>
      </w:r>
    </w:p>
    <w:p w14:paraId="43D365D3">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会计与财务知识被受访者视为最重要的职业生涯关键能力。</w:t>
      </w:r>
    </w:p>
    <w:p w14:paraId="17F97ECF">
      <w:pPr>
        <w:numPr>
          <w:ilvl w:val="0"/>
          <w:numId w:val="0"/>
        </w:numPr>
        <w:ind w:firstLine="321" w:firstLineChars="100"/>
        <w:outlineLvl w:val="2"/>
        <w:rPr>
          <w:rFonts w:hint="eastAsia" w:ascii="仿宋" w:hAnsi="仿宋" w:eastAsia="仿宋" w:cs="仿宋"/>
          <w:b/>
          <w:bCs w:val="0"/>
          <w:szCs w:val="32"/>
          <w:lang w:val="en-US" w:eastAsia="zh-CN"/>
        </w:rPr>
      </w:pPr>
      <w:bookmarkStart w:id="71" w:name="_Toc10063"/>
      <w:r>
        <w:rPr>
          <w:rFonts w:hint="eastAsia" w:ascii="仿宋" w:hAnsi="仿宋" w:eastAsia="仿宋" w:cs="仿宋"/>
          <w:b/>
          <w:bCs w:val="0"/>
          <w:szCs w:val="32"/>
          <w:lang w:val="en-US" w:eastAsia="zh-CN"/>
        </w:rPr>
        <w:t>3.具体数据的分析情况</w:t>
      </w:r>
      <w:bookmarkEnd w:id="71"/>
    </w:p>
    <w:p w14:paraId="25C3994F">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（1）专业教育对工作帮助程度的评价：</w:t>
      </w:r>
    </w:p>
    <w:p w14:paraId="35D8E81F">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非常有帮助：35人（32.11%）</w:t>
      </w:r>
    </w:p>
    <w:p w14:paraId="5E2F3531">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有帮助：49人（44.95%）</w:t>
      </w:r>
    </w:p>
    <w:p w14:paraId="07B1549C">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一般：15人（13.76%）</w:t>
      </w:r>
    </w:p>
    <w:p w14:paraId="7700076F">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不太有帮助：5人（4.59%）</w:t>
      </w:r>
    </w:p>
    <w:p w14:paraId="4CD38993">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没有帮助：5人（4.59%）</w:t>
      </w:r>
    </w:p>
    <w:p w14:paraId="6DD77C96">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（2）工作最有帮助的课程：</w:t>
      </w:r>
    </w:p>
    <w:p w14:paraId="2580461B">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财务会计：79人（72.48%）</w:t>
      </w:r>
    </w:p>
    <w:p w14:paraId="5D350EAA">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会计基础：81人（74.31%）</w:t>
      </w:r>
    </w:p>
    <w:p w14:paraId="28F4EE6E">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税法：73人（66.97%）</w:t>
      </w:r>
    </w:p>
    <w:p w14:paraId="66F7166F">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管理会计、财务管理、会计电算化等课程也有较高比例。</w:t>
      </w:r>
    </w:p>
    <w:p w14:paraId="5C741EF3">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（3）实践项目/实习经历的影响：</w:t>
      </w:r>
    </w:p>
    <w:p w14:paraId="79B8663C">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非常大的影响：26人（23.85%）</w:t>
      </w:r>
    </w:p>
    <w:p w14:paraId="7286C649">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较大的影响：36人（33.03%）</w:t>
      </w:r>
    </w:p>
    <w:p w14:paraId="488A2567">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一般的影响：34人（31.19%）</w:t>
      </w:r>
    </w:p>
    <w:p w14:paraId="0852EAA1">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较小的影响：8人（7.34%）</w:t>
      </w:r>
    </w:p>
    <w:p w14:paraId="7D2895C9">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没有影响：5人（4.59%）</w:t>
      </w:r>
    </w:p>
    <w:p w14:paraId="6C18F6A4">
      <w:pPr>
        <w:numPr>
          <w:ilvl w:val="0"/>
          <w:numId w:val="0"/>
        </w:numPr>
        <w:outlineLvl w:val="9"/>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（4）第一份工作的相关性：</w:t>
      </w:r>
    </w:p>
    <w:p w14:paraId="2934C30E">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是：79人（72.48%）</w:t>
      </w:r>
    </w:p>
    <w:p w14:paraId="60D7BF7D">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否：30人（27.52%）</w:t>
      </w:r>
    </w:p>
    <w:p w14:paraId="2C95943B">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（5）目前所在行业：</w:t>
      </w:r>
    </w:p>
    <w:p w14:paraId="0172915B">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服务行业：38人（34.86%）</w:t>
      </w:r>
    </w:p>
    <w:p w14:paraId="6B4F9B6A">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制造业/生产：14人（12.84%）</w:t>
      </w:r>
    </w:p>
    <w:p w14:paraId="5A78B022">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房地产/建筑：9人（8.26%）</w:t>
      </w:r>
    </w:p>
    <w:p w14:paraId="465855D9">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其他行业占比较低。</w:t>
      </w:r>
    </w:p>
    <w:p w14:paraId="030697AA">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（6）职业发展路径中的最大挑战：</w:t>
      </w:r>
    </w:p>
    <w:p w14:paraId="5C3B4384">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行业变化快，需要不断学习：52人（47.71%）</w:t>
      </w:r>
    </w:p>
    <w:p w14:paraId="10AFEE0B">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缺乏实践经验：24人（22.02%）</w:t>
      </w:r>
    </w:p>
    <w:p w14:paraId="0F74CB83">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职业晋升机会有限：23人（21.1%）</w:t>
      </w:r>
    </w:p>
    <w:p w14:paraId="0D3FC227">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（7）职业生涯关键能力的重要性排序：</w:t>
      </w:r>
    </w:p>
    <w:p w14:paraId="7FF0B862">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会计与财务知识综合得分最高，被视为最重要。</w:t>
      </w:r>
    </w:p>
    <w:p w14:paraId="67CAB676">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沟通与表达能力、数据分析技能紧随其后。</w:t>
      </w:r>
    </w:p>
    <w:p w14:paraId="2DA309C7">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团队协作能力得分最低。</w:t>
      </w:r>
    </w:p>
    <w:p w14:paraId="4E165588">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（8）工作中最常用到的技能或知识：</w:t>
      </w:r>
    </w:p>
    <w:p w14:paraId="7F873E23">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财务报表编制与分析：76人（69.72%）</w:t>
      </w:r>
    </w:p>
    <w:p w14:paraId="5CD0192C">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财务软件操作：74人（67.89%）</w:t>
      </w:r>
    </w:p>
    <w:p w14:paraId="7112D8D6">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税务申报、税务筹划与合规：74人（67.89%）</w:t>
      </w:r>
    </w:p>
    <w:p w14:paraId="48E23063">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（9）对学校加强课程的建议：</w:t>
      </w:r>
    </w:p>
    <w:p w14:paraId="5FEC5326">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数据分析与数据挖掘：80人（73.39%）</w:t>
      </w:r>
    </w:p>
    <w:p w14:paraId="33A53F3E">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财务管理与决策、税务与合规、沟通与领导力等课程也有较高比例。</w:t>
      </w:r>
    </w:p>
    <w:p w14:paraId="7C02A831">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（10）课程设置需要加强的方面：</w:t>
      </w:r>
    </w:p>
    <w:p w14:paraId="27ABF012">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实践操作能力的培养：97人（88.99%）</w:t>
      </w:r>
    </w:p>
    <w:p w14:paraId="5C731FA1">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理论知识的教学深度、行业前沿技术的更新、跨学科知识的融合等方面也有较多建议。</w:t>
      </w:r>
    </w:p>
    <w:p w14:paraId="5590AD81">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（11）是否建议开设大数据与会计交叉的跨学科课程：</w:t>
      </w:r>
    </w:p>
    <w:p w14:paraId="03E4D56A">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是：105人（96.33%）</w:t>
      </w:r>
    </w:p>
    <w:p w14:paraId="1EB77495">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否：4人（3.67%）</w:t>
      </w:r>
    </w:p>
    <w:p w14:paraId="0DBD2BDB">
      <w:pPr>
        <w:numPr>
          <w:ilvl w:val="0"/>
          <w:numId w:val="0"/>
        </w:numPr>
        <w:ind w:leftChars="200"/>
        <w:outlineLvl w:val="2"/>
        <w:rPr>
          <w:rFonts w:hint="eastAsia" w:ascii="仿宋" w:hAnsi="仿宋" w:eastAsia="仿宋" w:cs="仿宋"/>
          <w:b/>
          <w:szCs w:val="32"/>
          <w:lang w:val="en-US" w:eastAsia="zh-CN"/>
        </w:rPr>
      </w:pPr>
      <w:bookmarkStart w:id="72" w:name="_Toc32058"/>
      <w:r>
        <w:rPr>
          <w:rFonts w:hint="eastAsia" w:ascii="仿宋" w:hAnsi="仿宋" w:eastAsia="仿宋" w:cs="仿宋"/>
          <w:b/>
          <w:szCs w:val="32"/>
          <w:lang w:val="en-US" w:eastAsia="zh-CN"/>
        </w:rPr>
        <w:t>4.给专业人才培养方案的启示</w:t>
      </w:r>
      <w:bookmarkEnd w:id="72"/>
    </w:p>
    <w:p w14:paraId="7BAB1871">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（1）课程设计</w:t>
      </w:r>
    </w:p>
    <w:p w14:paraId="68582353">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增设跨学科课程：</w:t>
      </w:r>
      <w:r>
        <w:rPr>
          <w:rFonts w:hint="eastAsia" w:ascii="仿宋" w:hAnsi="仿宋" w:eastAsia="仿宋" w:cs="仿宋"/>
          <w:b w:val="0"/>
          <w:bCs/>
          <w:szCs w:val="32"/>
          <w:lang w:val="en-US" w:eastAsia="zh-CN"/>
        </w:rPr>
        <w:t>鉴于96.33%的受访者建议开设大数据与会计交叉的跨学科课程，学校应考虑引入数据分析、数据挖掘、大数据处理等相关课程，以增强学生的数据处理与分析能力。</w:t>
      </w:r>
    </w:p>
    <w:p w14:paraId="0297DE4A">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强化实践课程</w:t>
      </w:r>
      <w:r>
        <w:rPr>
          <w:rFonts w:hint="eastAsia" w:ascii="仿宋" w:hAnsi="仿宋" w:eastAsia="仿宋" w:cs="仿宋"/>
          <w:b w:val="0"/>
          <w:bCs/>
          <w:szCs w:val="32"/>
          <w:lang w:val="en-US" w:eastAsia="zh-CN"/>
        </w:rPr>
        <w:t>：鉴于实践操作能力的重要性被广泛认可，应增加实践课程比重，如模拟实训、企业实习、案例分析等，以提升学生的实战能力。</w:t>
      </w:r>
    </w:p>
    <w:p w14:paraId="68250296">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优化基础课程：</w:t>
      </w:r>
      <w:r>
        <w:rPr>
          <w:rFonts w:hint="eastAsia" w:ascii="仿宋" w:hAnsi="仿宋" w:eastAsia="仿宋" w:cs="仿宋"/>
          <w:b w:val="0"/>
          <w:bCs/>
          <w:szCs w:val="32"/>
          <w:lang w:val="en-US" w:eastAsia="zh-CN"/>
        </w:rPr>
        <w:t>继续加强财务会计、会计基础、税法等核心课程，同时考虑引入创新思维、领导力培养等软技能课程。</w:t>
      </w:r>
    </w:p>
    <w:p w14:paraId="327C770A">
      <w:pPr>
        <w:numPr>
          <w:ilvl w:val="0"/>
          <w:numId w:val="0"/>
        </w:numPr>
        <w:ind w:leftChars="20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（2）教学方法改进</w:t>
      </w:r>
    </w:p>
    <w:p w14:paraId="3F88EBDF">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案例教学</w:t>
      </w:r>
      <w:r>
        <w:rPr>
          <w:rFonts w:hint="eastAsia" w:ascii="仿宋" w:hAnsi="仿宋" w:eastAsia="仿宋" w:cs="仿宋"/>
          <w:b w:val="0"/>
          <w:bCs/>
          <w:szCs w:val="32"/>
          <w:lang w:val="en-US" w:eastAsia="zh-CN"/>
        </w:rPr>
        <w:t>：采用更多真实案例进行教学，帮助学生理解理论知识在实际工作中的应用。</w:t>
      </w:r>
    </w:p>
    <w:p w14:paraId="154E0FAB">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项目导向学习：</w:t>
      </w:r>
      <w:r>
        <w:rPr>
          <w:rFonts w:hint="eastAsia" w:ascii="仿宋" w:hAnsi="仿宋" w:eastAsia="仿宋" w:cs="仿宋"/>
          <w:b w:val="0"/>
          <w:bCs/>
          <w:szCs w:val="32"/>
          <w:lang w:val="en-US" w:eastAsia="zh-CN"/>
        </w:rPr>
        <w:t>通过项目驱动的教学方式，让学生在完成具体项目的过程中学习和掌握知识，提升解决问题的能力。</w:t>
      </w:r>
    </w:p>
    <w:p w14:paraId="27F3A3C4">
      <w:pPr>
        <w:numPr>
          <w:ilvl w:val="0"/>
          <w:numId w:val="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校企合作：</w:t>
      </w:r>
      <w:r>
        <w:rPr>
          <w:rFonts w:hint="eastAsia" w:ascii="仿宋" w:hAnsi="仿宋" w:eastAsia="仿宋" w:cs="仿宋"/>
          <w:b w:val="0"/>
          <w:bCs/>
          <w:szCs w:val="32"/>
          <w:lang w:val="en-US" w:eastAsia="zh-CN"/>
        </w:rPr>
        <w:t>加强与企业的合作，建立实习实训基地，为学生提供更多实践机会，同时邀请企业专家进校授课，分享行业前沿动态和实战经验。</w:t>
      </w:r>
    </w:p>
    <w:p w14:paraId="0D24BA07">
      <w:pPr>
        <w:ind w:firstLine="643" w:firstLineChars="200"/>
        <w:outlineLvl w:val="1"/>
        <w:rPr>
          <w:rFonts w:hint="eastAsia" w:ascii="仿宋" w:hAnsi="仿宋" w:eastAsia="仿宋" w:cs="仿宋"/>
          <w:b/>
          <w:szCs w:val="32"/>
          <w:lang w:val="en-US" w:eastAsia="zh-CN"/>
        </w:rPr>
      </w:pPr>
      <w:bookmarkStart w:id="73" w:name="_Toc20319"/>
      <w:r>
        <w:rPr>
          <w:rFonts w:hint="eastAsia" w:ascii="仿宋" w:hAnsi="仿宋" w:eastAsia="仿宋" w:cs="仿宋"/>
          <w:b/>
          <w:szCs w:val="32"/>
          <w:lang w:val="en-US" w:eastAsia="zh-CN"/>
        </w:rPr>
        <w:t>（三）在校生的建议</w:t>
      </w:r>
      <w:bookmarkEnd w:id="73"/>
    </w:p>
    <w:p w14:paraId="797FF0B3">
      <w:p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本次调研了解在校生的途径主要是通过发放调查问卷获取，因此我们主要分析调查问卷数据。</w:t>
      </w:r>
    </w:p>
    <w:p w14:paraId="195734F6">
      <w:pPr>
        <w:ind w:firstLine="643" w:firstLineChars="200"/>
        <w:outlineLvl w:val="2"/>
        <w:rPr>
          <w:rFonts w:hint="eastAsia" w:ascii="仿宋" w:hAnsi="仿宋" w:eastAsia="仿宋" w:cs="仿宋"/>
          <w:b/>
          <w:szCs w:val="32"/>
          <w:lang w:val="en-US" w:eastAsia="zh-CN"/>
        </w:rPr>
      </w:pPr>
      <w:bookmarkStart w:id="74" w:name="_Toc13608"/>
      <w:r>
        <w:rPr>
          <w:rFonts w:hint="eastAsia" w:ascii="仿宋" w:hAnsi="仿宋" w:eastAsia="仿宋" w:cs="仿宋"/>
          <w:b/>
          <w:szCs w:val="32"/>
          <w:lang w:val="en-US" w:eastAsia="zh-CN"/>
        </w:rPr>
        <w:t>1.调查问卷的基本情况</w:t>
      </w:r>
      <w:bookmarkEnd w:id="74"/>
    </w:p>
    <w:p w14:paraId="57C55E8C">
      <w:p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本次调查问卷主要针对大数据与会计、大数据与财务管理专业的学生，覆盖大一、大二、大三三个年级，共计156名有效填写者。其中，大数据与会计专业学生占比63.46%，大数据与财务管理专业学生占比36.54%。</w:t>
      </w:r>
    </w:p>
    <w:p w14:paraId="2F8325D9">
      <w:p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问卷内容涵盖了学生对专业课程的认知与评价、课程偏好、学习需求、未来职业发展预期、教学方法满意度、考核方式偏好、课程互动方式期望等多个维度。具体问题包括对各门课程重要性的评价、课程类型偏好、未来希望增加的课程类型、现有课程课时是否满足学习需求、对教学方法的满意度、喜欢的课程形式、倾向的考核方式、希望的课程互动方式等。</w:t>
      </w:r>
    </w:p>
    <w:p w14:paraId="3EA8FF33">
      <w:pPr>
        <w:ind w:firstLine="643" w:firstLineChars="200"/>
        <w:outlineLvl w:val="2"/>
        <w:rPr>
          <w:rFonts w:hint="eastAsia" w:ascii="仿宋" w:hAnsi="仿宋" w:eastAsia="仿宋" w:cs="仿宋"/>
          <w:b/>
          <w:szCs w:val="32"/>
          <w:lang w:val="en-US" w:eastAsia="zh-CN"/>
        </w:rPr>
      </w:pPr>
      <w:bookmarkStart w:id="75" w:name="_Toc3713"/>
      <w:r>
        <w:rPr>
          <w:rFonts w:hint="eastAsia" w:ascii="仿宋" w:hAnsi="仿宋" w:eastAsia="仿宋" w:cs="仿宋"/>
          <w:b/>
          <w:szCs w:val="32"/>
          <w:lang w:val="en-US" w:eastAsia="zh-CN"/>
        </w:rPr>
        <w:t>2.调查数据的结果</w:t>
      </w:r>
      <w:bookmarkEnd w:id="75"/>
    </w:p>
    <w:p w14:paraId="37BF5DF7">
      <w:pPr>
        <w:numPr>
          <w:ilvl w:val="0"/>
          <w:numId w:val="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大部分学生认为会计基础、经济学基础、税费计算与智能申报等课程对专业学习帮助最大。</w:t>
      </w:r>
    </w:p>
    <w:p w14:paraId="73C08BA1">
      <w:pPr>
        <w:numPr>
          <w:ilvl w:val="0"/>
          <w:numId w:val="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理论与实践结合的课程类型最受学生欢迎。</w:t>
      </w:r>
    </w:p>
    <w:p w14:paraId="13565A91">
      <w:pPr>
        <w:numPr>
          <w:ilvl w:val="0"/>
          <w:numId w:val="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实践性课程在学生最喜欢的课程类别中占比最高。</w:t>
      </w:r>
    </w:p>
    <w:p w14:paraId="60451BDC">
      <w:pPr>
        <w:numPr>
          <w:ilvl w:val="0"/>
          <w:numId w:val="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行业前沿课程、职业技能认证培训课程和专升本培训课程是学生未来最希望增加的课程类型。</w:t>
      </w:r>
    </w:p>
    <w:p w14:paraId="7DB49791">
      <w:pPr>
        <w:numPr>
          <w:ilvl w:val="0"/>
          <w:numId w:val="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大部分学生对现有基础理论课程、专业技能课程、实践课程和跨学科新技术课程的课时基本满意，但仍有提升空间。</w:t>
      </w:r>
    </w:p>
    <w:p w14:paraId="4DE733C0">
      <w:pPr>
        <w:numPr>
          <w:ilvl w:val="0"/>
          <w:numId w:val="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实战演练/模拟操作是学生最喜欢的课程形式，混合式学习紧随其后。</w:t>
      </w:r>
    </w:p>
    <w:p w14:paraId="0960954F">
      <w:pPr>
        <w:numPr>
          <w:ilvl w:val="0"/>
          <w:numId w:val="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开卷考试和实践操作考核是学生倾向的考核方式。</w:t>
      </w:r>
    </w:p>
    <w:p w14:paraId="40FC7FC9">
      <w:pPr>
        <w:numPr>
          <w:ilvl w:val="0"/>
          <w:numId w:val="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课堂讨论和案例分析是学生期望的主要课程互动方式。</w:t>
      </w:r>
    </w:p>
    <w:p w14:paraId="1CB67BE5">
      <w:pPr>
        <w:ind w:firstLine="643" w:firstLineChars="200"/>
        <w:outlineLvl w:val="2"/>
        <w:rPr>
          <w:rFonts w:hint="eastAsia" w:ascii="仿宋" w:hAnsi="仿宋" w:eastAsia="仿宋" w:cs="仿宋"/>
          <w:b/>
          <w:szCs w:val="32"/>
          <w:lang w:val="en-US" w:eastAsia="zh-CN"/>
        </w:rPr>
      </w:pPr>
      <w:bookmarkStart w:id="76" w:name="_Toc17459"/>
      <w:r>
        <w:rPr>
          <w:rFonts w:hint="eastAsia" w:ascii="仿宋" w:hAnsi="仿宋" w:eastAsia="仿宋" w:cs="仿宋"/>
          <w:b/>
          <w:szCs w:val="32"/>
          <w:lang w:val="en-US" w:eastAsia="zh-CN"/>
        </w:rPr>
        <w:t>3.具体数据分析情况</w:t>
      </w:r>
      <w:bookmarkEnd w:id="76"/>
    </w:p>
    <w:p w14:paraId="028BEBAC">
      <w:pPr>
        <w:numPr>
          <w:ilvl w:val="0"/>
          <w:numId w:val="0"/>
        </w:numPr>
        <w:ind w:leftChars="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（1）课程偏好与影响</w:t>
      </w:r>
    </w:p>
    <w:p w14:paraId="52ACF10E">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帮助最大的课程：</w:t>
      </w:r>
      <w:r>
        <w:rPr>
          <w:rFonts w:hint="eastAsia" w:ascii="仿宋" w:hAnsi="仿宋" w:eastAsia="仿宋" w:cs="仿宋"/>
          <w:b w:val="0"/>
          <w:bCs/>
          <w:szCs w:val="32"/>
          <w:lang w:val="en-US" w:eastAsia="zh-CN"/>
        </w:rPr>
        <w:t>会计基础（85.26%）、经济法基础（76.28%）、成本核算与管理（76.92%）、企业财务会计（72.44%）。</w:t>
      </w:r>
    </w:p>
    <w:p w14:paraId="1008429A">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偏好课程类型：</w:t>
      </w:r>
      <w:r>
        <w:rPr>
          <w:rFonts w:hint="eastAsia" w:ascii="仿宋" w:hAnsi="仿宋" w:eastAsia="仿宋" w:cs="仿宋"/>
          <w:b w:val="0"/>
          <w:bCs/>
          <w:szCs w:val="32"/>
          <w:lang w:val="en-US" w:eastAsia="zh-CN"/>
        </w:rPr>
        <w:t>74.36%的学生偏好理论与实践结合的课程。</w:t>
      </w:r>
    </w:p>
    <w:p w14:paraId="3C5BC8DD">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最喜欢当前课程体系中的课程：实践性课程（如会计基本技能实务、财务共享实务）占比最高（40.38%）。</w:t>
      </w:r>
    </w:p>
    <w:p w14:paraId="3DACA7FD">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对未来职业发展帮助最大的课程：</w:t>
      </w:r>
      <w:r>
        <w:rPr>
          <w:rFonts w:hint="eastAsia" w:ascii="仿宋" w:hAnsi="仿宋" w:eastAsia="仿宋" w:cs="仿宋"/>
          <w:b w:val="0"/>
          <w:bCs/>
          <w:szCs w:val="32"/>
          <w:lang w:val="en-US" w:eastAsia="zh-CN"/>
        </w:rPr>
        <w:t>实践性课程（76.28%）、专业技能课（69.23%）、理论基础课（62.82%）。</w:t>
      </w:r>
    </w:p>
    <w:p w14:paraId="1F126B94">
      <w:pPr>
        <w:numPr>
          <w:ilvl w:val="0"/>
          <w:numId w:val="0"/>
        </w:numPr>
        <w:ind w:leftChars="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（2）课时满意度</w:t>
      </w:r>
    </w:p>
    <w:p w14:paraId="3045E75D">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基础理论课程课时：</w:t>
      </w:r>
      <w:r>
        <w:rPr>
          <w:rFonts w:hint="eastAsia" w:ascii="仿宋" w:hAnsi="仿宋" w:eastAsia="仿宋" w:cs="仿宋"/>
          <w:b w:val="0"/>
          <w:bCs/>
          <w:szCs w:val="32"/>
          <w:lang w:val="en-US" w:eastAsia="zh-CN"/>
        </w:rPr>
        <w:t>认为当前课程能够满足学习满足和基本满足的学生占比分别为43.59%和53.85%。</w:t>
      </w:r>
    </w:p>
    <w:p w14:paraId="5FA4DC4F">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专业技能课程课时：</w:t>
      </w:r>
      <w:r>
        <w:rPr>
          <w:rFonts w:hint="eastAsia" w:ascii="仿宋" w:hAnsi="仿宋" w:eastAsia="仿宋" w:cs="仿宋"/>
          <w:b w:val="0"/>
          <w:bCs/>
          <w:szCs w:val="32"/>
          <w:lang w:val="en-US" w:eastAsia="zh-CN"/>
        </w:rPr>
        <w:t>认为当前课程能够满足学习满足和基本满足的学生占比分别为44.23%和53.85%。</w:t>
      </w:r>
    </w:p>
    <w:p w14:paraId="01F5D4E2">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实践课程课时：</w:t>
      </w:r>
      <w:r>
        <w:rPr>
          <w:rFonts w:hint="eastAsia" w:ascii="仿宋" w:hAnsi="仿宋" w:eastAsia="仿宋" w:cs="仿宋"/>
          <w:b w:val="0"/>
          <w:bCs/>
          <w:szCs w:val="32"/>
          <w:lang w:val="en-US" w:eastAsia="zh-CN"/>
        </w:rPr>
        <w:t>认为当前课程满足和基本满足的学生占比分别为43.59%和53.85%。</w:t>
      </w:r>
    </w:p>
    <w:p w14:paraId="6A063B9E">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跨学科新技术课程课时：</w:t>
      </w:r>
      <w:r>
        <w:rPr>
          <w:rFonts w:hint="eastAsia" w:ascii="仿宋" w:hAnsi="仿宋" w:eastAsia="仿宋" w:cs="仿宋"/>
          <w:b w:val="0"/>
          <w:bCs/>
          <w:szCs w:val="32"/>
          <w:lang w:val="en-US" w:eastAsia="zh-CN"/>
        </w:rPr>
        <w:t>认为当前课程满足和基本满足的学生占比分别为46.15%和49.36%。</w:t>
      </w:r>
    </w:p>
    <w:p w14:paraId="48D22000">
      <w:pPr>
        <w:numPr>
          <w:ilvl w:val="0"/>
          <w:numId w:val="0"/>
        </w:numPr>
        <w:ind w:leftChars="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（3）教学方法与资源</w:t>
      </w:r>
    </w:p>
    <w:p w14:paraId="40A2ADEA">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教学方法满意度：</w:t>
      </w:r>
      <w:r>
        <w:rPr>
          <w:rFonts w:hint="eastAsia" w:ascii="仿宋" w:hAnsi="仿宋" w:eastAsia="仿宋" w:cs="仿宋"/>
          <w:b w:val="0"/>
          <w:bCs/>
          <w:szCs w:val="32"/>
          <w:lang w:val="en-US" w:eastAsia="zh-CN"/>
        </w:rPr>
        <w:t>满意的学生占比最高（55.77%），其次是非常满意（26.28%）。</w:t>
      </w:r>
    </w:p>
    <w:p w14:paraId="0086B7DD">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课程形式偏好：</w:t>
      </w:r>
      <w:r>
        <w:rPr>
          <w:rFonts w:hint="eastAsia" w:ascii="仿宋" w:hAnsi="仿宋" w:eastAsia="仿宋" w:cs="仿宋"/>
          <w:b w:val="0"/>
          <w:bCs/>
          <w:szCs w:val="32"/>
          <w:lang w:val="en-US" w:eastAsia="zh-CN"/>
        </w:rPr>
        <w:t>实战演练/模拟操作（71.15%）、案例教学（63.46%）、混合式学习（48.08%）。</w:t>
      </w:r>
    </w:p>
    <w:p w14:paraId="328FE0B0">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考核方式偏好：</w:t>
      </w:r>
      <w:r>
        <w:rPr>
          <w:rFonts w:hint="eastAsia" w:ascii="仿宋" w:hAnsi="仿宋" w:eastAsia="仿宋" w:cs="仿宋"/>
          <w:b w:val="0"/>
          <w:bCs/>
          <w:szCs w:val="32"/>
          <w:lang w:val="en-US" w:eastAsia="zh-CN"/>
        </w:rPr>
        <w:t>开卷考试（77.56%）、实践操作考核（66.67%）、闭卷考试（39.1%）。</w:t>
      </w:r>
    </w:p>
    <w:p w14:paraId="797E1F57">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互动方式偏好：</w:t>
      </w:r>
      <w:r>
        <w:rPr>
          <w:rFonts w:hint="eastAsia" w:ascii="仿宋" w:hAnsi="仿宋" w:eastAsia="仿宋" w:cs="仿宋"/>
          <w:b w:val="0"/>
          <w:bCs/>
          <w:szCs w:val="32"/>
          <w:lang w:val="en-US" w:eastAsia="zh-CN"/>
        </w:rPr>
        <w:t>课堂讨论（73.72%）、案例分析（65.38%）、小组项目（49.36%）。</w:t>
      </w:r>
    </w:p>
    <w:p w14:paraId="73AFC069">
      <w:pPr>
        <w:numPr>
          <w:ilvl w:val="0"/>
          <w:numId w:val="0"/>
        </w:numPr>
        <w:ind w:leftChars="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（5）未来课程期望</w:t>
      </w:r>
    </w:p>
    <w:p w14:paraId="70003376">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希望增加的课程类型</w:t>
      </w:r>
      <w:r>
        <w:rPr>
          <w:rFonts w:hint="eastAsia" w:ascii="仿宋" w:hAnsi="仿宋" w:eastAsia="仿宋" w:cs="仿宋"/>
          <w:b w:val="0"/>
          <w:bCs/>
          <w:szCs w:val="32"/>
          <w:lang w:val="en-US" w:eastAsia="zh-CN"/>
        </w:rPr>
        <w:t>：职业技能认证培训课程（70.51%）、专升本培训课程（64.1%）、行业前沿课程（58.33%）。</w:t>
      </w:r>
    </w:p>
    <w:p w14:paraId="15A7F153">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个性化需求：</w:t>
      </w:r>
      <w:r>
        <w:rPr>
          <w:rFonts w:hint="eastAsia" w:ascii="仿宋" w:hAnsi="仿宋" w:eastAsia="仿宋" w:cs="仿宋"/>
          <w:b w:val="0"/>
          <w:bCs/>
          <w:szCs w:val="32"/>
          <w:lang w:val="en-US" w:eastAsia="zh-CN"/>
        </w:rPr>
        <w:t>专业方向深化课程（85.26%）、在线学习资源（60.26%）、个性化辅导或咨询（47.44%）。</w:t>
      </w:r>
    </w:p>
    <w:p w14:paraId="74704EA4">
      <w:pPr>
        <w:numPr>
          <w:ilvl w:val="0"/>
          <w:numId w:val="0"/>
        </w:numPr>
        <w:ind w:leftChars="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（6）其他</w:t>
      </w:r>
    </w:p>
    <w:p w14:paraId="6EF98D94">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理论课程与实践课程的设置比例：</w:t>
      </w:r>
      <w:r>
        <w:rPr>
          <w:rFonts w:hint="eastAsia" w:ascii="仿宋" w:hAnsi="仿宋" w:eastAsia="仿宋" w:cs="仿宋"/>
          <w:b w:val="0"/>
          <w:bCs/>
          <w:szCs w:val="32"/>
          <w:lang w:val="en-US" w:eastAsia="zh-CN"/>
        </w:rPr>
        <w:t>51.92%的学生认为穿插进行最合理。</w:t>
      </w:r>
    </w:p>
    <w:p w14:paraId="1012D897">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开设顺序：</w:t>
      </w:r>
      <w:r>
        <w:rPr>
          <w:rFonts w:hint="eastAsia" w:ascii="仿宋" w:hAnsi="仿宋" w:eastAsia="仿宋" w:cs="仿宋"/>
          <w:b w:val="0"/>
          <w:bCs/>
          <w:szCs w:val="32"/>
          <w:lang w:val="en-US" w:eastAsia="zh-CN"/>
        </w:rPr>
        <w:t>35.9%的学生认为理论课程应先于实践课程，51.92%认为应穿插进行。</w:t>
      </w:r>
    </w:p>
    <w:p w14:paraId="3CD00F16">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课时调整：</w:t>
      </w:r>
      <w:r>
        <w:rPr>
          <w:rFonts w:hint="eastAsia" w:ascii="仿宋" w:hAnsi="仿宋" w:eastAsia="仿宋" w:cs="仿宋"/>
          <w:b w:val="0"/>
          <w:bCs/>
          <w:szCs w:val="32"/>
          <w:lang w:val="en-US" w:eastAsia="zh-CN"/>
        </w:rPr>
        <w:t>50.64%的学生认为需要增加实践课程课时比例。</w:t>
      </w:r>
    </w:p>
    <w:p w14:paraId="1EDCE7C6">
      <w:pPr>
        <w:numPr>
          <w:ilvl w:val="0"/>
          <w:numId w:val="0"/>
        </w:numPr>
        <w:ind w:left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专升本考试相关课程：89.1%的学生认为有必要增加相关课程课时。</w:t>
      </w:r>
    </w:p>
    <w:p w14:paraId="1E20BBC5">
      <w:pPr>
        <w:numPr>
          <w:ilvl w:val="0"/>
          <w:numId w:val="0"/>
        </w:numPr>
        <w:ind w:leftChars="200"/>
        <w:outlineLvl w:val="2"/>
        <w:rPr>
          <w:rFonts w:hint="eastAsia" w:ascii="仿宋" w:hAnsi="仿宋" w:eastAsia="仿宋" w:cs="仿宋"/>
          <w:b/>
          <w:szCs w:val="32"/>
          <w:lang w:val="en-US" w:eastAsia="zh-CN"/>
        </w:rPr>
      </w:pPr>
      <w:bookmarkStart w:id="77" w:name="_Toc23963"/>
      <w:r>
        <w:rPr>
          <w:rFonts w:hint="eastAsia" w:ascii="仿宋" w:hAnsi="仿宋" w:eastAsia="仿宋" w:cs="仿宋"/>
          <w:b/>
          <w:szCs w:val="32"/>
          <w:lang w:val="en-US" w:eastAsia="zh-CN"/>
        </w:rPr>
        <w:t>4.给人才培养方案的启示</w:t>
      </w:r>
      <w:bookmarkEnd w:id="77"/>
    </w:p>
    <w:p w14:paraId="3272F8C2">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（1）课程设置建议</w:t>
      </w:r>
    </w:p>
    <w:p w14:paraId="2C13FB24">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强化实践课程：</w:t>
      </w:r>
      <w:r>
        <w:rPr>
          <w:rFonts w:hint="eastAsia" w:ascii="仿宋" w:hAnsi="仿宋" w:eastAsia="仿宋" w:cs="仿宋"/>
          <w:b w:val="0"/>
          <w:bCs/>
          <w:szCs w:val="32"/>
          <w:lang w:val="en-US" w:eastAsia="zh-CN"/>
        </w:rPr>
        <w:t>鉴于实践性课程对学生专业学习和未来职业发展的重要性，建议进一步增加会计基本技能实务、财务共享实务等实践课程的课时比例，以满足学生的实际需求。</w:t>
      </w:r>
    </w:p>
    <w:p w14:paraId="4E222D77">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跨学科新技术课程：</w:t>
      </w:r>
      <w:r>
        <w:rPr>
          <w:rFonts w:hint="eastAsia" w:ascii="仿宋" w:hAnsi="仿宋" w:eastAsia="仿宋" w:cs="仿宋"/>
          <w:b w:val="0"/>
          <w:bCs/>
          <w:szCs w:val="32"/>
          <w:lang w:val="en-US" w:eastAsia="zh-CN"/>
        </w:rPr>
        <w:t>随着技术的不断发展，应继续引入和强化财务机器人应用、企业财经大数据分析等跨学科新技术课程，提升学生的综合竞争力。</w:t>
      </w:r>
    </w:p>
    <w:p w14:paraId="1AE61ECB">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专业方向深化与个性化辅导：</w:t>
      </w:r>
      <w:r>
        <w:rPr>
          <w:rFonts w:hint="eastAsia" w:ascii="仿宋" w:hAnsi="仿宋" w:eastAsia="仿宋" w:cs="仿宋"/>
          <w:b w:val="0"/>
          <w:bCs/>
          <w:szCs w:val="32"/>
          <w:lang w:val="en-US" w:eastAsia="zh-CN"/>
        </w:rPr>
        <w:t>根据学生反馈，增设专业方向深化课程和个性化辅导资源，以满足不同层次学生的学习需求。</w:t>
      </w:r>
    </w:p>
    <w:p w14:paraId="131DB764">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（2）教学方法改进</w:t>
      </w:r>
    </w:p>
    <w:p w14:paraId="32E5D3EB">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多样化教学手段：结合学生的偏好，继续采用案例教学、实战演练/模拟操作等多样化的教学手段，提升教学效果。</w:t>
      </w:r>
    </w:p>
    <w:p w14:paraId="3B23740A">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混合式学习模式：推广混合式学习模式（线上+线下结合），充分利用在线学习资源，提高学生的学习灵活性和自主性。</w:t>
      </w:r>
    </w:p>
    <w:p w14:paraId="10B4D736">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（3）考核方式优化</w:t>
      </w:r>
    </w:p>
    <w:p w14:paraId="638BCC4A">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灵活考核方式：除了传统的闭卷考试外，增加开卷考试、实践操作考核、课程论文/报告和项目制考核等多种考核方式，全面评价学生的学习成果。</w:t>
      </w:r>
    </w:p>
    <w:p w14:paraId="24314687">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（4）教学互动加强</w:t>
      </w:r>
    </w:p>
    <w:p w14:paraId="7EEF317D">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增加课堂互动：鼓励课堂讨论、小组项目和案例分析等互动方式，提高学生的参与度和学习兴趣。</w:t>
      </w:r>
    </w:p>
    <w:p w14:paraId="4BF4A19F">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（5）专升本考试支持</w:t>
      </w:r>
    </w:p>
    <w:p w14:paraId="5772261E">
      <w:pPr>
        <w:numPr>
          <w:ilvl w:val="0"/>
          <w:numId w:val="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增加相关课程课时：鉴于大多数学生认为有必要增加专升本考试的相关课程课时，建议在课程设置中给予相应支持，帮助学生更好地备考。</w:t>
      </w:r>
    </w:p>
    <w:p w14:paraId="228D1856">
      <w:pPr>
        <w:ind w:firstLine="643" w:firstLineChars="200"/>
        <w:outlineLvl w:val="1"/>
        <w:rPr>
          <w:rFonts w:hint="eastAsia" w:ascii="仿宋" w:hAnsi="仿宋" w:eastAsia="仿宋" w:cs="仿宋"/>
          <w:b/>
          <w:szCs w:val="32"/>
          <w:lang w:val="en-US" w:eastAsia="zh-CN"/>
        </w:rPr>
      </w:pPr>
      <w:bookmarkStart w:id="78" w:name="_Toc27031"/>
      <w:r>
        <w:rPr>
          <w:rFonts w:hint="eastAsia" w:ascii="仿宋" w:hAnsi="仿宋" w:eastAsia="仿宋" w:cs="仿宋"/>
          <w:b/>
          <w:szCs w:val="32"/>
          <w:lang w:val="en-US" w:eastAsia="zh-CN"/>
        </w:rPr>
        <w:t>（四）中职人培方案分析</w:t>
      </w:r>
      <w:bookmarkEnd w:id="78"/>
    </w:p>
    <w:p w14:paraId="33FF30B1">
      <w:pPr>
        <w:pStyle w:val="4"/>
        <w:ind w:firstLine="643"/>
        <w:outlineLvl w:val="2"/>
        <w:rPr>
          <w:rFonts w:hint="eastAsia" w:ascii="仿宋" w:hAnsi="仿宋" w:eastAsia="仿宋" w:cs="仿宋"/>
          <w:b/>
          <w:sz w:val="32"/>
          <w:szCs w:val="32"/>
          <w:lang w:val="en-US" w:eastAsia="zh-CN"/>
        </w:rPr>
      </w:pPr>
      <w:bookmarkStart w:id="79" w:name="_Toc7113"/>
      <w:r>
        <w:rPr>
          <w:rFonts w:hint="eastAsia" w:ascii="仿宋" w:hAnsi="仿宋" w:eastAsia="仿宋" w:cs="仿宋"/>
          <w:b/>
          <w:sz w:val="32"/>
          <w:szCs w:val="32"/>
          <w:lang w:val="en-US" w:eastAsia="zh-CN"/>
        </w:rPr>
        <w:t>1.6间中职院校的人才方案的主要内容</w:t>
      </w:r>
      <w:bookmarkEnd w:id="79"/>
    </w:p>
    <w:p w14:paraId="0C9481F0">
      <w:pPr>
        <w:pStyle w:val="4"/>
        <w:ind w:firstLine="643"/>
        <w:rPr>
          <w:rFonts w:hint="eastAsia" w:ascii="仿宋" w:hAnsi="仿宋" w:eastAsia="仿宋" w:cs="仿宋"/>
          <w:b/>
          <w:sz w:val="32"/>
          <w:szCs w:val="32"/>
          <w:lang w:val="en-US" w:eastAsia="zh-CN"/>
        </w:rPr>
      </w:pPr>
      <w:r>
        <w:rPr>
          <w:rFonts w:hint="eastAsia" w:ascii="仿宋" w:hAnsi="仿宋" w:eastAsia="仿宋" w:cs="仿宋"/>
        </w:rPr>
        <w:drawing>
          <wp:inline distT="0" distB="0" distL="114300" distR="114300">
            <wp:extent cx="5267960" cy="5889625"/>
            <wp:effectExtent l="0" t="0" r="2540"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267960" cy="5889625"/>
                    </a:xfrm>
                    <a:prstGeom prst="rect">
                      <a:avLst/>
                    </a:prstGeom>
                    <a:noFill/>
                    <a:ln>
                      <a:noFill/>
                    </a:ln>
                  </pic:spPr>
                </pic:pic>
              </a:graphicData>
            </a:graphic>
          </wp:inline>
        </w:drawing>
      </w:r>
    </w:p>
    <w:p w14:paraId="261A7770">
      <w:pPr>
        <w:pStyle w:val="4"/>
        <w:ind w:firstLine="643"/>
        <w:outlineLvl w:val="2"/>
        <w:rPr>
          <w:rFonts w:hint="eastAsia" w:ascii="仿宋" w:hAnsi="仿宋" w:eastAsia="仿宋" w:cs="仿宋"/>
          <w:b/>
          <w:sz w:val="32"/>
          <w:szCs w:val="32"/>
          <w:lang w:val="en-US" w:eastAsia="zh-CN"/>
        </w:rPr>
      </w:pPr>
      <w:bookmarkStart w:id="80" w:name="_Toc8023"/>
      <w:r>
        <w:rPr>
          <w:rFonts w:hint="eastAsia" w:ascii="仿宋" w:hAnsi="仿宋" w:eastAsia="仿宋" w:cs="仿宋"/>
          <w:b/>
          <w:sz w:val="32"/>
          <w:szCs w:val="32"/>
          <w:lang w:val="en-US" w:eastAsia="zh-CN"/>
        </w:rPr>
        <w:t>2.6间中职院校的人才方案的课时设置</w:t>
      </w:r>
      <w:bookmarkEnd w:id="80"/>
    </w:p>
    <w:p w14:paraId="6A351EE0">
      <w:pPr>
        <w:pStyle w:val="4"/>
        <w:ind w:firstLine="643"/>
        <w:rPr>
          <w:rFonts w:hint="eastAsia" w:ascii="仿宋" w:hAnsi="仿宋" w:eastAsia="仿宋" w:cs="仿宋"/>
          <w:b/>
          <w:sz w:val="32"/>
          <w:szCs w:val="32"/>
          <w:lang w:val="en-US" w:eastAsia="zh-CN"/>
        </w:rPr>
      </w:pPr>
      <w:r>
        <w:rPr>
          <w:rFonts w:hint="eastAsia" w:ascii="仿宋" w:hAnsi="仿宋" w:eastAsia="仿宋" w:cs="仿宋"/>
        </w:rPr>
        <w:drawing>
          <wp:inline distT="0" distB="0" distL="114300" distR="114300">
            <wp:extent cx="5273675" cy="7456805"/>
            <wp:effectExtent l="0" t="0" r="9525" b="1079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5273675" cy="7456805"/>
                    </a:xfrm>
                    <a:prstGeom prst="rect">
                      <a:avLst/>
                    </a:prstGeom>
                    <a:noFill/>
                    <a:ln>
                      <a:noFill/>
                    </a:ln>
                  </pic:spPr>
                </pic:pic>
              </a:graphicData>
            </a:graphic>
          </wp:inline>
        </w:drawing>
      </w:r>
    </w:p>
    <w:p w14:paraId="131DDE8D">
      <w:pPr>
        <w:pStyle w:val="4"/>
        <w:ind w:firstLine="643"/>
        <w:outlineLvl w:val="2"/>
        <w:rPr>
          <w:rFonts w:hint="eastAsia" w:ascii="仿宋" w:hAnsi="仿宋" w:eastAsia="仿宋" w:cs="仿宋"/>
          <w:b/>
          <w:sz w:val="32"/>
          <w:szCs w:val="32"/>
          <w:lang w:val="en-US" w:eastAsia="zh-CN"/>
        </w:rPr>
      </w:pPr>
      <w:bookmarkStart w:id="81" w:name="_Toc12415"/>
      <w:r>
        <w:rPr>
          <w:rFonts w:hint="eastAsia" w:ascii="仿宋" w:hAnsi="仿宋" w:eastAsia="仿宋" w:cs="仿宋"/>
          <w:b/>
          <w:sz w:val="32"/>
          <w:szCs w:val="32"/>
          <w:lang w:val="en-US" w:eastAsia="zh-CN"/>
        </w:rPr>
        <w:t>3.中职人培方案的特点</w:t>
      </w:r>
      <w:bookmarkEnd w:id="81"/>
    </w:p>
    <w:p w14:paraId="1F7FCD13">
      <w:pPr>
        <w:pStyle w:val="4"/>
        <w:ind w:left="0" w:leftChars="0" w:firstLine="321" w:firstLineChars="10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（1）专业培养目标</w:t>
      </w:r>
    </w:p>
    <w:p w14:paraId="45BFEBED">
      <w:pPr>
        <w:pStyle w:val="4"/>
        <w:ind w:firstLine="643"/>
        <w:rPr>
          <w:rFonts w:hint="eastAsia" w:ascii="仿宋" w:hAnsi="仿宋" w:eastAsia="仿宋" w:cs="仿宋"/>
          <w:b/>
          <w:sz w:val="32"/>
          <w:szCs w:val="32"/>
          <w:lang w:val="en-US" w:eastAsia="zh-CN"/>
        </w:rPr>
      </w:pPr>
    </w:p>
    <w:p w14:paraId="29065AA4">
      <w:pPr>
        <w:pStyle w:val="4"/>
        <w:numPr>
          <w:ilvl w:val="0"/>
          <w:numId w:val="10"/>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面向中小企业：</w:t>
      </w:r>
      <w:r>
        <w:rPr>
          <w:rFonts w:hint="eastAsia" w:ascii="仿宋" w:hAnsi="仿宋" w:eastAsia="仿宋" w:cs="仿宋"/>
          <w:b w:val="0"/>
          <w:bCs/>
          <w:sz w:val="32"/>
          <w:szCs w:val="32"/>
          <w:lang w:val="en-US" w:eastAsia="zh-CN"/>
        </w:rPr>
        <w:t>多所学校均将培养目标设定为面向中小企业，培养从事出纳、会计核算及相关财经服务的高素质劳动者和技能型人才。</w:t>
      </w:r>
    </w:p>
    <w:p w14:paraId="61ED23C6">
      <w:pPr>
        <w:pStyle w:val="4"/>
        <w:numPr>
          <w:ilvl w:val="0"/>
          <w:numId w:val="10"/>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全面发展：</w:t>
      </w:r>
      <w:r>
        <w:rPr>
          <w:rFonts w:hint="eastAsia" w:ascii="仿宋" w:hAnsi="仿宋" w:eastAsia="仿宋" w:cs="仿宋"/>
          <w:b w:val="0"/>
          <w:bCs/>
          <w:sz w:val="32"/>
          <w:szCs w:val="32"/>
          <w:lang w:val="en-US" w:eastAsia="zh-CN"/>
        </w:rPr>
        <w:t>强调德、智、体、美（部分学校还包括劳）全面发展，注重职业道德、专业技能和综合素质的提升。</w:t>
      </w:r>
    </w:p>
    <w:p w14:paraId="3BC4D32B">
      <w:pPr>
        <w:pStyle w:val="4"/>
        <w:numPr>
          <w:ilvl w:val="0"/>
          <w:numId w:val="10"/>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技能与理论并重：</w:t>
      </w:r>
      <w:r>
        <w:rPr>
          <w:rFonts w:hint="eastAsia" w:ascii="仿宋" w:hAnsi="仿宋" w:eastAsia="仿宋" w:cs="仿宋"/>
          <w:b w:val="0"/>
          <w:bCs/>
          <w:sz w:val="32"/>
          <w:szCs w:val="32"/>
          <w:lang w:val="en-US" w:eastAsia="zh-CN"/>
        </w:rPr>
        <w:t>不仅要求掌握会计基础理论和知识，还强调实际操作能力和信息化技能的培养。</w:t>
      </w:r>
    </w:p>
    <w:p w14:paraId="392DF8C7">
      <w:pPr>
        <w:pStyle w:val="4"/>
        <w:ind w:left="0" w:leftChars="0" w:firstLine="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（2）专业岗位定位</w:t>
      </w:r>
    </w:p>
    <w:p w14:paraId="5398F57F">
      <w:pPr>
        <w:pStyle w:val="4"/>
        <w:numPr>
          <w:ilvl w:val="0"/>
          <w:numId w:val="10"/>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多元化岗位：</w:t>
      </w:r>
      <w:r>
        <w:rPr>
          <w:rFonts w:hint="eastAsia" w:ascii="仿宋" w:hAnsi="仿宋" w:eastAsia="仿宋" w:cs="仿宋"/>
          <w:b w:val="0"/>
          <w:bCs/>
          <w:sz w:val="32"/>
          <w:szCs w:val="32"/>
          <w:lang w:val="en-US" w:eastAsia="zh-CN"/>
        </w:rPr>
        <w:t>岗位定位广泛，包括出纳员、会计核算员、成本核算员、办税员、收银员、税务代理、统计员等多种财经相关岗位。</w:t>
      </w:r>
    </w:p>
    <w:p w14:paraId="5B442166">
      <w:pPr>
        <w:pStyle w:val="4"/>
        <w:numPr>
          <w:ilvl w:val="0"/>
          <w:numId w:val="10"/>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对接市场需求：</w:t>
      </w:r>
      <w:r>
        <w:rPr>
          <w:rFonts w:hint="eastAsia" w:ascii="仿宋" w:hAnsi="仿宋" w:eastAsia="仿宋" w:cs="仿宋"/>
          <w:b w:val="0"/>
          <w:bCs/>
          <w:sz w:val="32"/>
          <w:szCs w:val="32"/>
          <w:lang w:val="en-US" w:eastAsia="zh-CN"/>
        </w:rPr>
        <w:t>根据市场需求，部分学校还特别提到了中小微企业出纳、销售会计、费用会计等具体岗位，以确保学生就业竞争力。</w:t>
      </w:r>
    </w:p>
    <w:p w14:paraId="2820B609">
      <w:pPr>
        <w:pStyle w:val="4"/>
        <w:ind w:left="0" w:leftChars="0" w:firstLine="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（3）专业核心能力</w:t>
      </w:r>
    </w:p>
    <w:p w14:paraId="01D14D0E">
      <w:pPr>
        <w:pStyle w:val="4"/>
        <w:numPr>
          <w:ilvl w:val="0"/>
          <w:numId w:val="10"/>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会计业务核算能力：</w:t>
      </w:r>
      <w:r>
        <w:rPr>
          <w:rFonts w:hint="eastAsia" w:ascii="仿宋" w:hAnsi="仿宋" w:eastAsia="仿宋" w:cs="仿宋"/>
          <w:b w:val="0"/>
          <w:bCs/>
          <w:sz w:val="32"/>
          <w:szCs w:val="32"/>
          <w:lang w:val="en-US" w:eastAsia="zh-CN"/>
        </w:rPr>
        <w:t>各学校均强调会计业务核算能力的重要性，要求学生熟练掌握会计理论和实务操作。</w:t>
      </w:r>
    </w:p>
    <w:p w14:paraId="21F77E37">
      <w:pPr>
        <w:pStyle w:val="4"/>
        <w:numPr>
          <w:ilvl w:val="0"/>
          <w:numId w:val="10"/>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信息化技能：</w:t>
      </w:r>
      <w:r>
        <w:rPr>
          <w:rFonts w:hint="eastAsia" w:ascii="仿宋" w:hAnsi="仿宋" w:eastAsia="仿宋" w:cs="仿宋"/>
          <w:b w:val="0"/>
          <w:bCs/>
          <w:sz w:val="32"/>
          <w:szCs w:val="32"/>
          <w:lang w:val="en-US" w:eastAsia="zh-CN"/>
        </w:rPr>
        <w:t>随着信息化的发展，多数学校还要求学生具备会计电算化软件应用能力，以及ERP、财务机器人等现代信息技术的应用能力。</w:t>
      </w:r>
    </w:p>
    <w:p w14:paraId="22F12BD6">
      <w:pPr>
        <w:pStyle w:val="4"/>
        <w:numPr>
          <w:ilvl w:val="0"/>
          <w:numId w:val="10"/>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综合素质：</w:t>
      </w:r>
      <w:r>
        <w:rPr>
          <w:rFonts w:hint="eastAsia" w:ascii="仿宋" w:hAnsi="仿宋" w:eastAsia="仿宋" w:cs="仿宋"/>
          <w:b w:val="0"/>
          <w:bCs/>
          <w:sz w:val="32"/>
          <w:szCs w:val="32"/>
          <w:lang w:val="en-US" w:eastAsia="zh-CN"/>
        </w:rPr>
        <w:t>包括语言表达能力、沟通与合作能力、职业道德和团队合作精神等，以提升学生在职场中的综合竞争力。</w:t>
      </w:r>
    </w:p>
    <w:p w14:paraId="3FB861D6">
      <w:pPr>
        <w:pStyle w:val="4"/>
        <w:ind w:left="0" w:leftChars="0" w:firstLine="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（3）毕业要求</w:t>
      </w:r>
    </w:p>
    <w:p w14:paraId="17BB28DB">
      <w:pPr>
        <w:pStyle w:val="4"/>
        <w:ind w:left="0" w:leftChars="0" w:firstLine="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学业与技能并重：</w:t>
      </w:r>
      <w:r>
        <w:rPr>
          <w:rFonts w:hint="eastAsia" w:ascii="仿宋" w:hAnsi="仿宋" w:eastAsia="仿宋" w:cs="仿宋"/>
          <w:b w:val="0"/>
          <w:bCs/>
          <w:sz w:val="32"/>
          <w:szCs w:val="32"/>
          <w:lang w:val="en-US" w:eastAsia="zh-CN"/>
        </w:rPr>
        <w:t>学生需修满规定学时学分，完成规定教学活动，并通过国家职业技能鉴定考试或取得相关职业资格证书。</w:t>
      </w:r>
    </w:p>
    <w:p w14:paraId="6F771446">
      <w:pPr>
        <w:pStyle w:val="4"/>
        <w:ind w:left="0" w:leftChars="0" w:firstLine="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实习经历：</w:t>
      </w:r>
      <w:r>
        <w:rPr>
          <w:rFonts w:hint="eastAsia" w:ascii="仿宋" w:hAnsi="仿宋" w:eastAsia="仿宋" w:cs="仿宋"/>
          <w:b w:val="0"/>
          <w:bCs/>
          <w:sz w:val="32"/>
          <w:szCs w:val="32"/>
          <w:lang w:val="en-US" w:eastAsia="zh-CN"/>
        </w:rPr>
        <w:t>多数学校要求学生参加顶岗实习或社会实践，以积累实际工作经验，提升职业素养。</w:t>
      </w:r>
    </w:p>
    <w:p w14:paraId="2CE4EDB1">
      <w:pPr>
        <w:pStyle w:val="4"/>
        <w:ind w:left="0" w:leftChars="0" w:firstLine="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（4）师资队伍</w:t>
      </w:r>
    </w:p>
    <w:p w14:paraId="32F442DA">
      <w:pPr>
        <w:pStyle w:val="4"/>
        <w:ind w:left="0" w:leftChars="0" w:firstLine="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双师型教师：</w:t>
      </w:r>
      <w:r>
        <w:rPr>
          <w:rFonts w:hint="eastAsia" w:ascii="仿宋" w:hAnsi="仿宋" w:eastAsia="仿宋" w:cs="仿宋"/>
          <w:b w:val="0"/>
          <w:bCs/>
          <w:sz w:val="32"/>
          <w:szCs w:val="32"/>
          <w:lang w:val="en-US" w:eastAsia="zh-CN"/>
        </w:rPr>
        <w:t>各学校均注重双师型教师的比例，确保教师既具备扎实的理论知识，又具有丰富的实践经验。</w:t>
      </w:r>
    </w:p>
    <w:p w14:paraId="21EBDAB7">
      <w:pPr>
        <w:pStyle w:val="4"/>
        <w:ind w:left="0" w:leftChars="0" w:firstLine="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高水平师资：</w:t>
      </w:r>
      <w:r>
        <w:rPr>
          <w:rFonts w:hint="eastAsia" w:ascii="仿宋" w:hAnsi="仿宋" w:eastAsia="仿宋" w:cs="仿宋"/>
          <w:b w:val="0"/>
          <w:bCs/>
          <w:sz w:val="32"/>
          <w:szCs w:val="32"/>
          <w:lang w:val="en-US" w:eastAsia="zh-CN"/>
        </w:rPr>
        <w:t>强调教师学历职称结构合理，配备高水平专业带头人和骨干教师，以提升教学质量和科研水平。</w:t>
      </w:r>
    </w:p>
    <w:p w14:paraId="6D65E6B9">
      <w:pPr>
        <w:pStyle w:val="4"/>
        <w:ind w:left="0" w:leftChars="0" w:firstLine="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（5）教学设施</w:t>
      </w:r>
    </w:p>
    <w:p w14:paraId="78F5438C">
      <w:pPr>
        <w:pStyle w:val="4"/>
        <w:ind w:left="0" w:leftChars="0" w:firstLine="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校内实训基地：</w:t>
      </w:r>
      <w:r>
        <w:rPr>
          <w:rFonts w:hint="eastAsia" w:ascii="仿宋" w:hAnsi="仿宋" w:eastAsia="仿宋" w:cs="仿宋"/>
          <w:b w:val="0"/>
          <w:bCs/>
          <w:sz w:val="32"/>
          <w:szCs w:val="32"/>
          <w:lang w:val="en-US" w:eastAsia="zh-CN"/>
        </w:rPr>
        <w:t>各学校均建有校内实训基地，包括会计电算化实训室、会计手工实训室等，以满足学生实践操作的需求。</w:t>
      </w:r>
    </w:p>
    <w:p w14:paraId="1FB23B47">
      <w:pPr>
        <w:pStyle w:val="4"/>
        <w:ind w:left="0" w:leftChars="0" w:firstLine="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校外实习基地：</w:t>
      </w:r>
      <w:r>
        <w:rPr>
          <w:rFonts w:hint="eastAsia" w:ascii="仿宋" w:hAnsi="仿宋" w:eastAsia="仿宋" w:cs="仿宋"/>
          <w:b w:val="0"/>
          <w:bCs/>
          <w:sz w:val="32"/>
          <w:szCs w:val="32"/>
          <w:lang w:val="en-US" w:eastAsia="zh-CN"/>
        </w:rPr>
        <w:t>与多家企业合作建立校外实习基地，为学生提供真实的职场环境，增强实践经验和就业竞争力。</w:t>
      </w:r>
    </w:p>
    <w:p w14:paraId="3A7B105F">
      <w:pPr>
        <w:pStyle w:val="4"/>
        <w:ind w:left="0" w:leftChars="0" w:firstLine="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（6）课程设置：</w:t>
      </w:r>
    </w:p>
    <w:p w14:paraId="220BC396">
      <w:pPr>
        <w:pStyle w:val="4"/>
        <w:ind w:left="0" w:leftChars="0" w:firstLine="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课程体系完善：</w:t>
      </w:r>
      <w:r>
        <w:rPr>
          <w:rFonts w:hint="eastAsia" w:ascii="仿宋" w:hAnsi="仿宋" w:eastAsia="仿宋" w:cs="仿宋"/>
          <w:b w:val="0"/>
          <w:bCs/>
          <w:sz w:val="32"/>
          <w:szCs w:val="32"/>
          <w:lang w:val="en-US" w:eastAsia="zh-CN"/>
        </w:rPr>
        <w:t>课程设置包括公共基础课程、专业基础课、专业核心课、专业实践课和职业拓展课等多个模块，涵盖了学生全面发展的各个方面。</w:t>
      </w:r>
    </w:p>
    <w:p w14:paraId="4C496BF7">
      <w:pPr>
        <w:pStyle w:val="4"/>
        <w:ind w:left="0" w:leftChars="0" w:firstLine="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理论与实践结合：</w:t>
      </w:r>
      <w:r>
        <w:rPr>
          <w:rFonts w:hint="eastAsia" w:ascii="仿宋" w:hAnsi="仿宋" w:eastAsia="仿宋" w:cs="仿宋"/>
          <w:b w:val="0"/>
          <w:bCs/>
          <w:sz w:val="32"/>
          <w:szCs w:val="32"/>
          <w:lang w:val="en-US" w:eastAsia="zh-CN"/>
        </w:rPr>
        <w:t>注重理论知识与实践操作的结合，通过课程实验、实训、实习等多种形式，提高学生的实践能力和创新能力。</w:t>
      </w:r>
    </w:p>
    <w:p w14:paraId="2444A147">
      <w:pPr>
        <w:pStyle w:val="4"/>
        <w:ind w:left="0" w:leftChars="0" w:firstLine="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信息化课程：</w:t>
      </w:r>
      <w:r>
        <w:rPr>
          <w:rFonts w:hint="eastAsia" w:ascii="仿宋" w:hAnsi="仿宋" w:eastAsia="仿宋" w:cs="仿宋"/>
          <w:b w:val="0"/>
          <w:bCs/>
          <w:sz w:val="32"/>
          <w:szCs w:val="32"/>
          <w:lang w:val="en-US" w:eastAsia="zh-CN"/>
        </w:rPr>
        <w:t>随着信息化的发展，各学校还增设了与信息化相关的课程，如会计电算化、ERP应用等，以适应现代财经行业的发展需求。</w:t>
      </w:r>
    </w:p>
    <w:p w14:paraId="03113A88">
      <w:pPr>
        <w:pStyle w:val="4"/>
        <w:ind w:firstLine="643"/>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综上所述，</w:t>
      </w:r>
      <w:r>
        <w:rPr>
          <w:rFonts w:hint="eastAsia" w:ascii="仿宋" w:hAnsi="仿宋" w:eastAsia="仿宋" w:cs="仿宋"/>
          <w:b w:val="0"/>
          <w:bCs/>
          <w:sz w:val="32"/>
          <w:szCs w:val="32"/>
          <w:lang w:val="en-US" w:eastAsia="zh-CN"/>
        </w:rPr>
        <w:t>这六所中职学校会计专业的人才培养方案在培养目标、岗位定位、核心能力、毕业要求、师资队伍、教学设施以及课程设置等方面均体现出面向市场需求、注重实践操作和综合素质培养的特点。</w:t>
      </w:r>
    </w:p>
    <w:p w14:paraId="44BD197B">
      <w:pPr>
        <w:ind w:firstLine="643" w:firstLineChars="200"/>
        <w:outlineLvl w:val="1"/>
        <w:rPr>
          <w:rFonts w:hint="eastAsia" w:ascii="仿宋" w:hAnsi="仿宋" w:eastAsia="仿宋" w:cs="仿宋"/>
          <w:b/>
          <w:szCs w:val="32"/>
          <w:lang w:val="en-US" w:eastAsia="zh-CN"/>
        </w:rPr>
      </w:pPr>
      <w:bookmarkStart w:id="82" w:name="_Toc24985"/>
      <w:r>
        <w:rPr>
          <w:rFonts w:hint="eastAsia" w:ascii="仿宋" w:hAnsi="仿宋" w:eastAsia="仿宋" w:cs="仿宋"/>
          <w:b/>
          <w:szCs w:val="32"/>
          <w:lang w:val="en-US" w:eastAsia="zh-CN"/>
        </w:rPr>
        <w:t>（五）</w:t>
      </w:r>
      <w:bookmarkStart w:id="83" w:name="OLE_LINK3"/>
      <w:r>
        <w:rPr>
          <w:rFonts w:hint="eastAsia" w:ascii="仿宋" w:hAnsi="仿宋" w:eastAsia="仿宋" w:cs="仿宋"/>
          <w:b/>
          <w:szCs w:val="32"/>
          <w:lang w:val="en-US" w:eastAsia="zh-CN"/>
        </w:rPr>
        <w:t>高水平职业院校人才培养方案分析</w:t>
      </w:r>
      <w:bookmarkEnd w:id="82"/>
    </w:p>
    <w:p w14:paraId="13259518">
      <w:pPr>
        <w:pStyle w:val="4"/>
        <w:ind w:firstLine="643"/>
        <w:outlineLvl w:val="2"/>
        <w:rPr>
          <w:rFonts w:hint="eastAsia" w:ascii="仿宋" w:hAnsi="仿宋" w:eastAsia="仿宋" w:cs="仿宋"/>
          <w:b/>
          <w:sz w:val="32"/>
          <w:szCs w:val="32"/>
          <w:lang w:val="en-US" w:eastAsia="zh-CN"/>
        </w:rPr>
      </w:pPr>
      <w:bookmarkStart w:id="84" w:name="_Toc6467"/>
      <w:r>
        <w:rPr>
          <w:rFonts w:hint="eastAsia" w:ascii="仿宋" w:hAnsi="仿宋" w:eastAsia="仿宋" w:cs="仿宋"/>
          <w:b/>
          <w:sz w:val="32"/>
          <w:szCs w:val="32"/>
          <w:lang w:val="en-US" w:eastAsia="zh-CN"/>
        </w:rPr>
        <w:t>1.8间高职院校的人才方案的主要内容</w:t>
      </w:r>
      <w:bookmarkEnd w:id="84"/>
    </w:p>
    <w:p w14:paraId="3D02FA20">
      <w:pPr>
        <w:pStyle w:val="4"/>
        <w:ind w:firstLine="643"/>
        <w:rPr>
          <w:rFonts w:hint="eastAsia" w:ascii="仿宋" w:hAnsi="仿宋" w:eastAsia="仿宋" w:cs="仿宋"/>
          <w:b/>
          <w:sz w:val="32"/>
          <w:szCs w:val="32"/>
          <w:lang w:val="en-US" w:eastAsia="zh-CN"/>
        </w:rPr>
      </w:pPr>
      <w:r>
        <w:rPr>
          <w:rFonts w:hint="eastAsia" w:ascii="仿宋" w:hAnsi="仿宋" w:eastAsia="仿宋" w:cs="仿宋"/>
        </w:rPr>
        <w:drawing>
          <wp:inline distT="0" distB="0" distL="114300" distR="114300">
            <wp:extent cx="5269230" cy="7070090"/>
            <wp:effectExtent l="0" t="0" r="127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9230" cy="7070090"/>
                    </a:xfrm>
                    <a:prstGeom prst="rect">
                      <a:avLst/>
                    </a:prstGeom>
                    <a:noFill/>
                    <a:ln>
                      <a:noFill/>
                    </a:ln>
                  </pic:spPr>
                </pic:pic>
              </a:graphicData>
            </a:graphic>
          </wp:inline>
        </w:drawing>
      </w:r>
    </w:p>
    <w:p w14:paraId="34B41AD3">
      <w:pPr>
        <w:pStyle w:val="4"/>
        <w:ind w:firstLine="643"/>
        <w:outlineLvl w:val="2"/>
        <w:rPr>
          <w:rFonts w:hint="eastAsia" w:ascii="仿宋" w:hAnsi="仿宋" w:eastAsia="仿宋" w:cs="仿宋"/>
          <w:b/>
          <w:sz w:val="32"/>
          <w:szCs w:val="32"/>
          <w:lang w:val="en-US" w:eastAsia="zh-CN"/>
        </w:rPr>
      </w:pPr>
      <w:bookmarkStart w:id="85" w:name="_Toc285"/>
      <w:r>
        <w:rPr>
          <w:rFonts w:hint="eastAsia" w:ascii="仿宋" w:hAnsi="仿宋" w:eastAsia="仿宋" w:cs="仿宋"/>
          <w:b/>
          <w:sz w:val="32"/>
          <w:szCs w:val="32"/>
          <w:lang w:val="en-US" w:eastAsia="zh-CN"/>
        </w:rPr>
        <w:t>2.8件高职院校课时设置（見附件二）</w:t>
      </w:r>
      <w:bookmarkEnd w:id="85"/>
    </w:p>
    <w:p w14:paraId="63067218">
      <w:pPr>
        <w:pStyle w:val="4"/>
        <w:rPr>
          <w:rFonts w:hint="eastAsia" w:ascii="仿宋" w:hAnsi="仿宋" w:eastAsia="仿宋" w:cs="仿宋"/>
          <w:b/>
          <w:sz w:val="32"/>
          <w:szCs w:val="32"/>
          <w:lang w:val="en-US" w:eastAsia="zh-CN"/>
        </w:rPr>
      </w:pPr>
      <w:r>
        <w:rPr>
          <w:rFonts w:hint="eastAsia" w:ascii="仿宋" w:hAnsi="仿宋" w:eastAsia="仿宋" w:cs="仿宋"/>
        </w:rPr>
        <w:drawing>
          <wp:inline distT="0" distB="0" distL="114300" distR="114300">
            <wp:extent cx="5066665" cy="8206740"/>
            <wp:effectExtent l="0" t="0" r="63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066665" cy="8206740"/>
                    </a:xfrm>
                    <a:prstGeom prst="rect">
                      <a:avLst/>
                    </a:prstGeom>
                    <a:noFill/>
                    <a:ln>
                      <a:noFill/>
                    </a:ln>
                  </pic:spPr>
                </pic:pic>
              </a:graphicData>
            </a:graphic>
          </wp:inline>
        </w:drawing>
      </w:r>
    </w:p>
    <w:p w14:paraId="006D14FD">
      <w:pPr>
        <w:pStyle w:val="4"/>
        <w:ind w:left="0" w:leftChars="0" w:firstLine="0" w:firstLineChars="0"/>
        <w:rPr>
          <w:rFonts w:hint="eastAsia" w:ascii="仿宋" w:hAnsi="仿宋" w:eastAsia="仿宋" w:cs="仿宋"/>
          <w:b/>
          <w:sz w:val="32"/>
          <w:szCs w:val="32"/>
          <w:lang w:val="en-US" w:eastAsia="zh-CN"/>
        </w:rPr>
      </w:pPr>
    </w:p>
    <w:p w14:paraId="6CDEA78E">
      <w:pPr>
        <w:pStyle w:val="4"/>
        <w:ind w:firstLine="643"/>
        <w:outlineLvl w:val="2"/>
        <w:rPr>
          <w:rFonts w:hint="eastAsia" w:ascii="仿宋" w:hAnsi="仿宋" w:eastAsia="仿宋" w:cs="仿宋"/>
          <w:b/>
          <w:sz w:val="32"/>
          <w:szCs w:val="32"/>
          <w:lang w:val="en-US" w:eastAsia="zh-CN"/>
        </w:rPr>
      </w:pPr>
      <w:bookmarkStart w:id="86" w:name="_Toc3540"/>
      <w:r>
        <w:rPr>
          <w:rFonts w:hint="eastAsia" w:ascii="仿宋" w:hAnsi="仿宋" w:eastAsia="仿宋" w:cs="仿宋"/>
          <w:b/>
          <w:sz w:val="32"/>
          <w:szCs w:val="32"/>
          <w:lang w:val="en-US" w:eastAsia="zh-CN"/>
        </w:rPr>
        <w:t>3.高职院校人才培养方案的特点</w:t>
      </w:r>
      <w:bookmarkEnd w:id="86"/>
    </w:p>
    <w:p w14:paraId="77CB9280">
      <w:pPr>
        <w:pStyle w:val="4"/>
        <w:ind w:left="0" w:leftChars="0" w:firstLine="0" w:firstLineChars="0"/>
        <w:rPr>
          <w:rFonts w:hint="eastAsia" w:ascii="仿宋" w:hAnsi="仿宋" w:eastAsia="仿宋" w:cs="仿宋"/>
          <w:b/>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1</w:t>
      </w:r>
      <w:r>
        <w:rPr>
          <w:rFonts w:hint="eastAsia" w:ascii="仿宋" w:hAnsi="仿宋" w:eastAsia="仿宋" w:cs="仿宋"/>
          <w:b/>
          <w:sz w:val="32"/>
          <w:szCs w:val="32"/>
          <w:lang w:eastAsia="zh-CN"/>
        </w:rPr>
        <w:t>）</w:t>
      </w:r>
      <w:r>
        <w:rPr>
          <w:rFonts w:hint="eastAsia" w:ascii="仿宋" w:hAnsi="仿宋" w:eastAsia="仿宋" w:cs="仿宋"/>
          <w:b/>
          <w:sz w:val="32"/>
          <w:szCs w:val="32"/>
        </w:rPr>
        <w:t>专业培养目标</w:t>
      </w:r>
    </w:p>
    <w:p w14:paraId="69B4FECF">
      <w:pPr>
        <w:pStyle w:val="4"/>
        <w:numPr>
          <w:ilvl w:val="0"/>
          <w:numId w:val="11"/>
        </w:numPr>
        <w:ind w:left="420" w:leftChars="0" w:hanging="420" w:firstLineChars="0"/>
        <w:rPr>
          <w:rFonts w:hint="eastAsia" w:ascii="仿宋" w:hAnsi="仿宋" w:eastAsia="仿宋" w:cs="仿宋"/>
          <w:b w:val="0"/>
          <w:bCs/>
          <w:sz w:val="32"/>
          <w:szCs w:val="32"/>
        </w:rPr>
      </w:pPr>
      <w:r>
        <w:rPr>
          <w:rFonts w:hint="eastAsia" w:ascii="仿宋" w:hAnsi="仿宋" w:eastAsia="仿宋" w:cs="仿宋"/>
          <w:b/>
          <w:bCs w:val="0"/>
          <w:sz w:val="32"/>
          <w:szCs w:val="32"/>
        </w:rPr>
        <w:t>综合素质与技能并重：</w:t>
      </w:r>
      <w:r>
        <w:rPr>
          <w:rFonts w:hint="eastAsia" w:ascii="仿宋" w:hAnsi="仿宋" w:eastAsia="仿宋" w:cs="仿宋"/>
          <w:b w:val="0"/>
          <w:bCs/>
          <w:sz w:val="32"/>
          <w:szCs w:val="32"/>
        </w:rPr>
        <w:t>各院校均强调培养学生的理想信念、科学文化水平、人文素养、职业道德和创新意识，同时注重会计专业知识与技能、大数据处理和分析能力的培养，以适应现代企业的需求。</w:t>
      </w:r>
    </w:p>
    <w:p w14:paraId="36C4612D">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bCs w:val="0"/>
          <w:sz w:val="32"/>
          <w:szCs w:val="32"/>
        </w:rPr>
        <w:t>技术与管理结合：</w:t>
      </w:r>
      <w:r>
        <w:rPr>
          <w:rFonts w:hint="eastAsia" w:ascii="仿宋" w:hAnsi="仿宋" w:eastAsia="仿宋" w:cs="仿宋"/>
          <w:b w:val="0"/>
          <w:bCs/>
          <w:sz w:val="32"/>
          <w:szCs w:val="32"/>
        </w:rPr>
        <w:t>目标不仅限于会计核算等基础技能，还包括财务管理、税务管理、成本管控、财务咨询、数据分析等综合能力，旨在培养复合型高素质技术技能人才。</w:t>
      </w:r>
    </w:p>
    <w:p w14:paraId="69F02AFC">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bCs w:val="0"/>
          <w:sz w:val="32"/>
          <w:szCs w:val="32"/>
        </w:rPr>
        <w:t>适应新技术发展：</w:t>
      </w:r>
      <w:r>
        <w:rPr>
          <w:rFonts w:hint="eastAsia" w:ascii="仿宋" w:hAnsi="仿宋" w:eastAsia="仿宋" w:cs="仿宋"/>
          <w:b w:val="0"/>
          <w:bCs/>
          <w:sz w:val="32"/>
          <w:szCs w:val="32"/>
        </w:rPr>
        <w:t>随着大数据、云计算、人工智能等新技术的兴起，多所院校将培养学生的数字化技能、智能化应用能力纳入培养目标，如深圳职业技术学院和河南财贸职业技术学院均强调大数据技术的应用能力。</w:t>
      </w:r>
    </w:p>
    <w:p w14:paraId="60AD12D3">
      <w:pPr>
        <w:pStyle w:val="4"/>
        <w:ind w:left="0" w:leftChars="0" w:firstLine="0" w:firstLineChars="0"/>
        <w:rPr>
          <w:rFonts w:hint="eastAsia" w:ascii="仿宋" w:hAnsi="仿宋" w:eastAsia="仿宋" w:cs="仿宋"/>
          <w:b/>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2</w:t>
      </w:r>
      <w:r>
        <w:rPr>
          <w:rFonts w:hint="eastAsia" w:ascii="仿宋" w:hAnsi="仿宋" w:eastAsia="仿宋" w:cs="仿宋"/>
          <w:b/>
          <w:sz w:val="32"/>
          <w:szCs w:val="32"/>
          <w:lang w:eastAsia="zh-CN"/>
        </w:rPr>
        <w:t>）</w:t>
      </w:r>
      <w:r>
        <w:rPr>
          <w:rFonts w:hint="eastAsia" w:ascii="仿宋" w:hAnsi="仿宋" w:eastAsia="仿宋" w:cs="仿宋"/>
          <w:b/>
          <w:sz w:val="32"/>
          <w:szCs w:val="32"/>
        </w:rPr>
        <w:t>专业岗位定位</w:t>
      </w:r>
    </w:p>
    <w:p w14:paraId="24F958DE">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bCs w:val="0"/>
          <w:sz w:val="32"/>
          <w:szCs w:val="32"/>
          <w:lang w:val="en-US" w:eastAsia="zh-CN"/>
        </w:rPr>
        <w:t>设置</w:t>
      </w:r>
      <w:r>
        <w:rPr>
          <w:rFonts w:hint="eastAsia" w:ascii="仿宋" w:hAnsi="仿宋" w:eastAsia="仿宋" w:cs="仿宋"/>
          <w:b/>
          <w:bCs w:val="0"/>
          <w:sz w:val="32"/>
          <w:szCs w:val="32"/>
        </w:rPr>
        <w:t>多样化岗位群：</w:t>
      </w:r>
      <w:r>
        <w:rPr>
          <w:rFonts w:hint="eastAsia" w:ascii="仿宋" w:hAnsi="仿宋" w:eastAsia="仿宋" w:cs="仿宋"/>
          <w:b w:val="0"/>
          <w:bCs/>
          <w:sz w:val="32"/>
          <w:szCs w:val="32"/>
        </w:rPr>
        <w:t>岗位定位广泛覆盖会计、审计、税务服务等多个领域，包括出纳、会计核算、成本管控、税务管理、预算管理、财务分析、代理记账、财务咨询等岗位群。</w:t>
      </w:r>
    </w:p>
    <w:p w14:paraId="6D4DC973">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bCs w:val="0"/>
          <w:sz w:val="32"/>
          <w:szCs w:val="32"/>
        </w:rPr>
        <w:t>关注新兴岗位：</w:t>
      </w:r>
      <w:r>
        <w:rPr>
          <w:rFonts w:hint="eastAsia" w:ascii="仿宋" w:hAnsi="仿宋" w:eastAsia="仿宋" w:cs="仿宋"/>
          <w:b w:val="0"/>
          <w:bCs/>
          <w:sz w:val="32"/>
          <w:szCs w:val="32"/>
        </w:rPr>
        <w:t>随着财务共享、智能财务等新型业态的发展，部分院校如江西财经学院开始关注新兴财务支持类岗位，如财务软件服务岗、共享财务岗等。</w:t>
      </w:r>
    </w:p>
    <w:p w14:paraId="7EACBC09">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bCs w:val="0"/>
          <w:sz w:val="32"/>
          <w:szCs w:val="32"/>
        </w:rPr>
        <w:t>规划发展岗位：</w:t>
      </w:r>
      <w:r>
        <w:rPr>
          <w:rFonts w:hint="eastAsia" w:ascii="仿宋" w:hAnsi="仿宋" w:eastAsia="仿宋" w:cs="仿宋"/>
          <w:b w:val="0"/>
          <w:bCs/>
          <w:sz w:val="32"/>
          <w:szCs w:val="32"/>
        </w:rPr>
        <w:t>不仅关注初始岗位群，还重视学生的职业发展路径，如向会计主管、管理会计、业财一体化管理岗等方向发展。</w:t>
      </w:r>
    </w:p>
    <w:p w14:paraId="4E247DCD">
      <w:pPr>
        <w:pStyle w:val="4"/>
        <w:numPr>
          <w:ilvl w:val="0"/>
          <w:numId w:val="0"/>
        </w:num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（3）专业核心能力</w:t>
      </w:r>
    </w:p>
    <w:p w14:paraId="626DD9FA">
      <w:pPr>
        <w:pStyle w:val="4"/>
        <w:numPr>
          <w:ilvl w:val="0"/>
          <w:numId w:val="12"/>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会计业务处理能力：</w:t>
      </w:r>
      <w:r>
        <w:rPr>
          <w:rFonts w:hint="eastAsia" w:ascii="仿宋" w:hAnsi="仿宋" w:eastAsia="仿宋" w:cs="仿宋"/>
          <w:b w:val="0"/>
          <w:bCs/>
          <w:sz w:val="32"/>
          <w:szCs w:val="32"/>
          <w:lang w:val="en-US" w:eastAsia="zh-CN"/>
        </w:rPr>
        <w:t>强调会计核算能力，包括设计会计制度、填制凭证、登记账簿等具体操作。如河南经贸职业学院、江西财经学院等均详细列出了会计核算的具体环节。突出数据稽核和信息化应用技能，适应数字化时代的需求，利用大数据工具进行财务数据处理和分析。</w:t>
      </w:r>
    </w:p>
    <w:p w14:paraId="0AF0A163">
      <w:pPr>
        <w:pStyle w:val="4"/>
        <w:numPr>
          <w:ilvl w:val="0"/>
          <w:numId w:val="12"/>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财税管理能力：</w:t>
      </w:r>
      <w:r>
        <w:rPr>
          <w:rFonts w:hint="eastAsia" w:ascii="仿宋" w:hAnsi="仿宋" w:eastAsia="仿宋" w:cs="仿宋"/>
          <w:b w:val="0"/>
          <w:bCs/>
          <w:sz w:val="32"/>
          <w:szCs w:val="32"/>
          <w:lang w:val="en-US" w:eastAsia="zh-CN"/>
        </w:rPr>
        <w:t>包括成本管理、税务筹划、预算管理等关键领域。例如，河南经贸职业学院明确提出财税管理能力，涉及成本管理、税务管理等，同时强调财务预测、财务分析和财务决策能力，为企业的财务健康提供支持和指导。</w:t>
      </w:r>
    </w:p>
    <w:p w14:paraId="7D367729">
      <w:pPr>
        <w:pStyle w:val="4"/>
        <w:numPr>
          <w:ilvl w:val="0"/>
          <w:numId w:val="12"/>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财务咨询与策划能力：</w:t>
      </w:r>
      <w:r>
        <w:rPr>
          <w:rFonts w:hint="eastAsia" w:ascii="仿宋" w:hAnsi="仿宋" w:eastAsia="仿宋" w:cs="仿宋"/>
          <w:b w:val="0"/>
          <w:bCs/>
          <w:sz w:val="32"/>
          <w:szCs w:val="32"/>
          <w:lang w:val="en-US" w:eastAsia="zh-CN"/>
        </w:rPr>
        <w:t>涵盖涉税服务、代理记账、财务策划等咨询业务。这体现了会计专业学生不仅需要具备基础核算能力，还需具备为企业提供综合财务咨询的能力。注重培养学生的创新创业能力，如湖南财经工业职业技术学院提到的业财融合、财务共享服务与财务制度设计能力。</w:t>
      </w:r>
    </w:p>
    <w:p w14:paraId="0AE5E84B">
      <w:pPr>
        <w:pStyle w:val="4"/>
        <w:numPr>
          <w:ilvl w:val="0"/>
          <w:numId w:val="12"/>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数据技术应用与财务分析能力：</w:t>
      </w:r>
      <w:r>
        <w:rPr>
          <w:rFonts w:hint="eastAsia" w:ascii="仿宋" w:hAnsi="仿宋" w:eastAsia="仿宋" w:cs="仿宋"/>
          <w:b w:val="0"/>
          <w:bCs/>
          <w:sz w:val="32"/>
          <w:szCs w:val="32"/>
          <w:lang w:val="en-US" w:eastAsia="zh-CN"/>
        </w:rPr>
        <w:t>随着大数据技术的普及，多所院校强调大数据在财务管理中的应用能力，如深圳职业技术学院、江苏财会职业学院等院校提出的数据处理能力、大数据分析能力等。通过利用大数据工具进行数据挖掘、梳理和分析，为企业提供更精准、高效的财务管理决策支持。</w:t>
      </w:r>
    </w:p>
    <w:p w14:paraId="7ED5298E">
      <w:pPr>
        <w:pStyle w:val="4"/>
        <w:numPr>
          <w:ilvl w:val="0"/>
          <w:numId w:val="0"/>
        </w:numPr>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审计与内部控制能力：</w:t>
      </w:r>
      <w:r>
        <w:rPr>
          <w:rFonts w:hint="eastAsia" w:ascii="仿宋" w:hAnsi="仿宋" w:eastAsia="仿宋" w:cs="仿宋"/>
          <w:b w:val="0"/>
          <w:bCs/>
          <w:sz w:val="32"/>
          <w:szCs w:val="32"/>
          <w:lang w:val="en-US" w:eastAsia="zh-CN"/>
        </w:rPr>
        <w:t>包括参与审计、尽职调查、审计底稿整理等审计技能，以及企业内部控制制度的设计与实施能力。</w:t>
      </w:r>
    </w:p>
    <w:p w14:paraId="5F1F5C3A">
      <w:pPr>
        <w:pStyle w:val="4"/>
        <w:numPr>
          <w:ilvl w:val="0"/>
          <w:numId w:val="0"/>
        </w:numPr>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强调风险管理和内部控制在保障企业财务安全中的重要性，如重庆财经职业学院提到的企业内部控制与风险管理能力。</w:t>
      </w:r>
    </w:p>
    <w:p w14:paraId="433C8BCC">
      <w:pPr>
        <w:pStyle w:val="4"/>
        <w:numPr>
          <w:ilvl w:val="0"/>
          <w:numId w:val="0"/>
        </w:num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（4）职业拓展与新技术应用能力</w:t>
      </w:r>
    </w:p>
    <w:p w14:paraId="05DFBBF8">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随着新兴技术的发展，多所院校增设了与新技术相关的课程，如财务机器人应用与开发、Python在财务中的应用等，以提升学生的职业竞争力和技术适应性。此项能力注重培养学生的可持续发展能力，包括相关领域扩展能力、后续发展能力等，以应对未来职业发展的不确定性。</w:t>
      </w:r>
    </w:p>
    <w:p w14:paraId="647FAE41">
      <w:pPr>
        <w:pStyle w:val="4"/>
        <w:numPr>
          <w:ilvl w:val="0"/>
          <w:numId w:val="0"/>
        </w:numPr>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（5）综合素质与实践能力</w:t>
      </w:r>
    </w:p>
    <w:p w14:paraId="3A43B43C">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各院校均强调学生需具备思想政治素质、职业素质、文化素质、身心素质等综合素质，以及通过实习实训提升专业能力、综合能力和创新能力。实践能力还注重校企合作和产教融合，通过校内外实训基地建设，为学生提供丰富的实践机会和就业支持。</w:t>
      </w:r>
    </w:p>
    <w:p w14:paraId="7D816ED0">
      <w:pPr>
        <w:pStyle w:val="4"/>
        <w:numPr>
          <w:ilvl w:val="0"/>
          <w:numId w:val="0"/>
        </w:numPr>
        <w:ind w:firstLine="640" w:firstLineChars="200"/>
        <w:rPr>
          <w:rFonts w:hint="eastAsia" w:ascii="仿宋" w:hAnsi="仿宋" w:eastAsia="仿宋" w:cs="仿宋"/>
          <w:b/>
          <w:sz w:val="32"/>
          <w:szCs w:val="32"/>
          <w:lang w:val="en-US" w:eastAsia="zh-CN"/>
        </w:rPr>
      </w:pPr>
      <w:r>
        <w:rPr>
          <w:rFonts w:hint="eastAsia" w:ascii="仿宋" w:hAnsi="仿宋" w:eastAsia="仿宋" w:cs="仿宋"/>
          <w:b w:val="0"/>
          <w:bCs/>
          <w:sz w:val="32"/>
          <w:szCs w:val="32"/>
          <w:lang w:val="en-US" w:eastAsia="zh-CN"/>
        </w:rPr>
        <w:t>综上所述，高职院校会计及相关专业的核心能力培养呈现出以下几个特点：一是注重会计业务处理与财税管理的基础技能；二是强调大数据技术与财务分析的现代应用能力；三是拓展财务咨询、审计与内部控制等高端技能；四是紧跟新兴技术发展趋势，培养学生的新技术应用能力；五是全面提升学生的综合素质与实践能力。这些特点共同构成了高职院校会计及相关专业人才培养的核心框架。</w:t>
      </w:r>
    </w:p>
    <w:p w14:paraId="01D48392">
      <w:pPr>
        <w:pStyle w:val="4"/>
        <w:numPr>
          <w:ilvl w:val="0"/>
          <w:numId w:val="0"/>
        </w:numPr>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（4）课时设置</w:t>
      </w:r>
    </w:p>
    <w:p w14:paraId="6A5A30FB">
      <w:pPr>
        <w:pStyle w:val="4"/>
        <w:numPr>
          <w:ilvl w:val="0"/>
          <w:numId w:val="12"/>
        </w:numPr>
        <w:ind w:left="420" w:leftChars="0" w:hanging="420" w:firstLineChars="0"/>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公共基础课程全面且课时充足</w:t>
      </w:r>
    </w:p>
    <w:p w14:paraId="445D54D3">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各院校均设置了包括思想政治理论、体育与健康、英语、数学等在内的全面公共基础课程，体现了对学生综合素质培养的重视。例如，河南财贸职业技术学院设置了“毛泽东思想和中国特色社会主义理论体系概论”（32课时）和“思想道德修养与法律基础”（36课时），深圳职业技术学院则开设了“思想道德与法治”和“军事理论”等课程。</w:t>
      </w:r>
    </w:p>
    <w:p w14:paraId="2CC6DCF8">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公共基础课程课时量普遍较高，确保学生有足够的时间学习和掌握基础知识和技能。如江西财经学院的“体育与健康”课程达到104课时，显示出对体育锻炼的重视。</w:t>
      </w:r>
    </w:p>
    <w:p w14:paraId="5D0D9135">
      <w:pPr>
        <w:pStyle w:val="4"/>
        <w:numPr>
          <w:ilvl w:val="0"/>
          <w:numId w:val="12"/>
        </w:numPr>
        <w:ind w:left="420" w:leftChars="0" w:hanging="420" w:firstLineChars="0"/>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专业基础课程注重基础与专业结合</w:t>
      </w:r>
    </w:p>
    <w:p w14:paraId="2C5BE7CC">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专业基础课程如“大数据技术应用基础”、“基础会计实务”、“管理学基础”等，旨在为学生打下坚实的专业基础。这些课程的课时设置根据不同专业的需求有所调整，但均占有一定比例，体现了对专业基础知识的重视。</w:t>
      </w:r>
    </w:p>
    <w:p w14:paraId="7407D520">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部分课程如“智能化财税管理”（72课时）结合了新技术和专业知识，反映出高职院校紧跟时代步伐，注重培养学生的专业技能与新兴技术的融合能力。</w:t>
      </w:r>
    </w:p>
    <w:p w14:paraId="59958645">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专业技能课程如“初级会计实务”、“纳税实务”、“财务大数据分析”等，注重培养学生的实际操作能力和问题解决能力。这些课程的课时安排较为充裕，如“初级会计实务（上）”在多个院校中均达到96课时以上。</w:t>
      </w:r>
    </w:p>
    <w:p w14:paraId="58D69018">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课程中包含大量的实训和实践环节，如“ERP财务与供应链系统实训”（72课时）、“会计综合业务实训”（96课时）等，强调通过实际操作加深学生对专业知识的理解和掌握。</w:t>
      </w:r>
    </w:p>
    <w:p w14:paraId="2A6BBD91">
      <w:pPr>
        <w:pStyle w:val="4"/>
        <w:numPr>
          <w:ilvl w:val="0"/>
          <w:numId w:val="12"/>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实践课程占据重要地位</w:t>
      </w:r>
    </w:p>
    <w:p w14:paraId="79F0B3FA">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各院校均设置了较为丰富的实践课程，包括基础会计实训、企业经营沙盘模拟实训、跟岗实习、毕业顶岗实习等。这些实践课程的课时量较大，如“岗位实习”在部分院校中达到540课时，充分体现了高职教育注重实践应用的特点。</w:t>
      </w:r>
    </w:p>
    <w:p w14:paraId="5F4A1B8A">
      <w:pPr>
        <w:pStyle w:val="4"/>
        <w:numPr>
          <w:ilvl w:val="0"/>
          <w:numId w:val="0"/>
        </w:numPr>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实践课程不仅涵盖了校内实训，还包括校外实习，为学生提供了从理论到实践的全面过渡。</w:t>
      </w:r>
    </w:p>
    <w:p w14:paraId="0A770977">
      <w:pPr>
        <w:pStyle w:val="4"/>
        <w:numPr>
          <w:ilvl w:val="0"/>
          <w:numId w:val="12"/>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职业拓展课程注重新技术引入</w:t>
      </w:r>
    </w:p>
    <w:p w14:paraId="08C2EC01">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随着技术的发展，各院校纷纷开设职业拓展课程，引入新技术、新技能的学习。如“财务机器人应用与开发”、“Python在财务中的应用”等课程，旨在培养学生的创新能力和对新技术的学习能力。</w:t>
      </w:r>
    </w:p>
    <w:p w14:paraId="3481317F">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这些课程的课时量虽然相对较少，但通过设置选修或短期培训的形式，为学生提供了接触和学习新技术的机会。</w:t>
      </w:r>
    </w:p>
    <w:p w14:paraId="27E16A64">
      <w:pPr>
        <w:pStyle w:val="4"/>
        <w:numPr>
          <w:ilvl w:val="0"/>
          <w:numId w:val="12"/>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课程设置的灵活性与多样性</w:t>
      </w:r>
    </w:p>
    <w:p w14:paraId="1D90EBCE">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不同院校在课程设置上具有一定的灵活性和多样性，能够根据自身特色和专业需求进行调整。例如，部分院校设置了“中华优秀传统文化”、“创新创业基础”等特色课程，丰富了学生的知识体系。</w:t>
      </w:r>
    </w:p>
    <w:p w14:paraId="3754037A">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同时，部分课程如“形势与政策教育”、“大学生职业发展与就业指导”等，虽然课时量较少，但覆盖面广泛，体现了对学生全面发展和社会适应能力的关注。</w:t>
      </w:r>
    </w:p>
    <w:p w14:paraId="4DB417E6">
      <w:pPr>
        <w:pStyle w:val="4"/>
        <w:numPr>
          <w:ilvl w:val="0"/>
          <w:numId w:val="12"/>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课时分配与培养目标紧密相连</w:t>
      </w:r>
    </w:p>
    <w:p w14:paraId="72B886C6">
      <w:pPr>
        <w:pStyle w:val="4"/>
        <w:numPr>
          <w:ilvl w:val="0"/>
          <w:numId w:val="0"/>
        </w:numPr>
        <w:ind w:firstLine="640" w:firstLineChars="200"/>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各院校在课时分配上紧密围绕培养目标进行规划，确保学生掌握必要的理论知识和实践技能。通过公共基础课程、专业基础课程、专业技能课程和实践课程的有机结合，形成了完整的人才培养体系。</w:t>
      </w:r>
    </w:p>
    <w:p w14:paraId="0F78E244">
      <w:pPr>
        <w:pStyle w:val="4"/>
        <w:ind w:left="0" w:leftChars="0" w:firstLine="0" w:firstLineChars="0"/>
        <w:rPr>
          <w:rFonts w:hint="eastAsia" w:ascii="仿宋" w:hAnsi="仿宋" w:eastAsia="仿宋" w:cs="仿宋"/>
          <w:b/>
          <w:sz w:val="32"/>
          <w:szCs w:val="32"/>
        </w:rPr>
      </w:pPr>
      <w:r>
        <w:rPr>
          <w:rFonts w:hint="eastAsia" w:ascii="仿宋" w:hAnsi="仿宋" w:eastAsia="仿宋" w:cs="仿宋"/>
          <w:b/>
          <w:sz w:val="32"/>
          <w:szCs w:val="32"/>
          <w:lang w:val="en-US" w:eastAsia="zh-CN"/>
        </w:rPr>
        <w:t>（5）</w:t>
      </w:r>
      <w:r>
        <w:rPr>
          <w:rFonts w:hint="eastAsia" w:ascii="仿宋" w:hAnsi="仿宋" w:eastAsia="仿宋" w:cs="仿宋"/>
          <w:b/>
          <w:sz w:val="32"/>
          <w:szCs w:val="32"/>
        </w:rPr>
        <w:t>毕业要求</w:t>
      </w:r>
    </w:p>
    <w:p w14:paraId="55DA079C">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bCs w:val="0"/>
          <w:sz w:val="32"/>
          <w:szCs w:val="32"/>
        </w:rPr>
        <w:t>学分与课程要求：</w:t>
      </w:r>
      <w:r>
        <w:rPr>
          <w:rFonts w:hint="eastAsia" w:ascii="仿宋" w:hAnsi="仿宋" w:eastAsia="仿宋" w:cs="仿宋"/>
          <w:b w:val="0"/>
          <w:bCs/>
          <w:sz w:val="32"/>
          <w:szCs w:val="32"/>
        </w:rPr>
        <w:t>各院校均设定了明确的学分要求，包括必修课程和选修课程，确保学生在规定修业年限内完成学习任务，课程考核合格。</w:t>
      </w:r>
    </w:p>
    <w:p w14:paraId="6469F4A6">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bCs w:val="0"/>
          <w:sz w:val="32"/>
          <w:szCs w:val="32"/>
        </w:rPr>
        <w:t>能力证书要求：</w:t>
      </w:r>
      <w:r>
        <w:rPr>
          <w:rFonts w:hint="eastAsia" w:ascii="仿宋" w:hAnsi="仿宋" w:eastAsia="仿宋" w:cs="仿宋"/>
          <w:b w:val="0"/>
          <w:bCs/>
          <w:sz w:val="32"/>
          <w:szCs w:val="32"/>
        </w:rPr>
        <w:t>鼓励学生获取多项职业资格证书，如初级会计师证书、全国高等院校计算机等级考试二级证书、1+X职业技能等级证书等，以提升就业竞争力。</w:t>
      </w:r>
    </w:p>
    <w:p w14:paraId="3CAF0CCC">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bCs w:val="0"/>
          <w:sz w:val="32"/>
          <w:szCs w:val="32"/>
        </w:rPr>
        <w:t>素质与能力达标：</w:t>
      </w:r>
      <w:r>
        <w:rPr>
          <w:rFonts w:hint="eastAsia" w:ascii="仿宋" w:hAnsi="仿宋" w:eastAsia="仿宋" w:cs="仿宋"/>
          <w:b w:val="0"/>
          <w:bCs/>
          <w:sz w:val="32"/>
          <w:szCs w:val="32"/>
        </w:rPr>
        <w:t>要求学生具备思想政治素质、职业素质、文化素质、身心素质等多方面的素质，以及专业能力、综合能力和创新能力等。</w:t>
      </w:r>
    </w:p>
    <w:p w14:paraId="452BE210">
      <w:pPr>
        <w:pStyle w:val="4"/>
        <w:ind w:left="0" w:leftChars="0" w:firstLine="0" w:firstLineChars="0"/>
        <w:rPr>
          <w:rFonts w:hint="eastAsia" w:ascii="仿宋" w:hAnsi="仿宋" w:eastAsia="仿宋" w:cs="仿宋"/>
          <w:b/>
          <w:sz w:val="32"/>
          <w:szCs w:val="32"/>
        </w:rPr>
      </w:pPr>
      <w:r>
        <w:rPr>
          <w:rFonts w:hint="eastAsia" w:ascii="仿宋" w:hAnsi="仿宋" w:eastAsia="仿宋" w:cs="仿宋"/>
          <w:b/>
          <w:sz w:val="32"/>
          <w:szCs w:val="32"/>
          <w:lang w:val="en-US" w:eastAsia="zh-CN"/>
        </w:rPr>
        <w:t>（6）</w:t>
      </w:r>
      <w:r>
        <w:rPr>
          <w:rFonts w:hint="eastAsia" w:ascii="仿宋" w:hAnsi="仿宋" w:eastAsia="仿宋" w:cs="仿宋"/>
          <w:b/>
          <w:sz w:val="32"/>
          <w:szCs w:val="32"/>
        </w:rPr>
        <w:t>师资队伍</w:t>
      </w:r>
    </w:p>
    <w:p w14:paraId="223F3CF0">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sz w:val="32"/>
          <w:szCs w:val="32"/>
        </w:rPr>
        <w:t>双师素质：</w:t>
      </w:r>
      <w:r>
        <w:rPr>
          <w:rFonts w:hint="eastAsia" w:ascii="仿宋" w:hAnsi="仿宋" w:eastAsia="仿宋" w:cs="仿宋"/>
          <w:b w:val="0"/>
          <w:bCs/>
          <w:sz w:val="32"/>
          <w:szCs w:val="32"/>
        </w:rPr>
        <w:t>强调专任教师需具备“双师”素质，即既有扎实的理论功底，又有丰富的实践经验，能够指导学生进行实习实训。</w:t>
      </w:r>
    </w:p>
    <w:p w14:paraId="705D91DB">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sz w:val="32"/>
          <w:szCs w:val="32"/>
        </w:rPr>
        <w:t>行业专家参与：</w:t>
      </w:r>
      <w:r>
        <w:rPr>
          <w:rFonts w:hint="eastAsia" w:ascii="仿宋" w:hAnsi="仿宋" w:eastAsia="仿宋" w:cs="仿宋"/>
          <w:b w:val="0"/>
          <w:bCs/>
          <w:sz w:val="32"/>
          <w:szCs w:val="32"/>
        </w:rPr>
        <w:t>引入企业行业专家作为兼职教师，共同参与教学，确保教学内容与行业需求紧密对接。</w:t>
      </w:r>
    </w:p>
    <w:p w14:paraId="4DD63D50">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sz w:val="32"/>
          <w:szCs w:val="32"/>
        </w:rPr>
        <w:t>师资结构优化：</w:t>
      </w:r>
      <w:r>
        <w:rPr>
          <w:rFonts w:hint="eastAsia" w:ascii="仿宋" w:hAnsi="仿宋" w:eastAsia="仿宋" w:cs="仿宋"/>
          <w:b w:val="0"/>
          <w:bCs/>
          <w:sz w:val="32"/>
          <w:szCs w:val="32"/>
        </w:rPr>
        <w:t>注重师资队伍的学历、职称结构优化，提升专业带头人和课程负责人的行业影响力，确保师资队伍的整体素质。</w:t>
      </w:r>
    </w:p>
    <w:p w14:paraId="259D91FC">
      <w:pPr>
        <w:pStyle w:val="4"/>
        <w:ind w:left="0" w:leftChars="0" w:firstLine="0" w:firstLineChars="0"/>
        <w:rPr>
          <w:rFonts w:hint="eastAsia" w:ascii="仿宋" w:hAnsi="仿宋" w:eastAsia="仿宋" w:cs="仿宋"/>
          <w:b/>
          <w:sz w:val="32"/>
          <w:szCs w:val="32"/>
        </w:rPr>
      </w:pPr>
      <w:r>
        <w:rPr>
          <w:rFonts w:hint="eastAsia" w:ascii="仿宋" w:hAnsi="仿宋" w:eastAsia="仿宋" w:cs="仿宋"/>
          <w:b/>
          <w:sz w:val="32"/>
          <w:szCs w:val="32"/>
          <w:lang w:val="en-US" w:eastAsia="zh-CN"/>
        </w:rPr>
        <w:t>（7）</w:t>
      </w:r>
      <w:r>
        <w:rPr>
          <w:rFonts w:hint="eastAsia" w:ascii="仿宋" w:hAnsi="仿宋" w:eastAsia="仿宋" w:cs="仿宋"/>
          <w:b/>
          <w:sz w:val="32"/>
          <w:szCs w:val="32"/>
        </w:rPr>
        <w:t>教学设施</w:t>
      </w:r>
    </w:p>
    <w:p w14:paraId="13A092FC">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sz w:val="32"/>
          <w:szCs w:val="32"/>
        </w:rPr>
        <w:t>校内实训室：</w:t>
      </w:r>
      <w:r>
        <w:rPr>
          <w:rFonts w:hint="eastAsia" w:ascii="仿宋" w:hAnsi="仿宋" w:eastAsia="仿宋" w:cs="仿宋"/>
          <w:b w:val="0"/>
          <w:bCs/>
          <w:sz w:val="32"/>
          <w:szCs w:val="32"/>
        </w:rPr>
        <w:t>建设现代化的校内实训室，如VBSE财务综合实训室、会计工厂等，提供仿真实训环境，帮助学生掌握实际操作技能。</w:t>
      </w:r>
    </w:p>
    <w:p w14:paraId="229E3F57">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sz w:val="32"/>
          <w:szCs w:val="32"/>
        </w:rPr>
        <w:t>校外实训基地：</w:t>
      </w:r>
      <w:r>
        <w:rPr>
          <w:rFonts w:hint="eastAsia" w:ascii="仿宋" w:hAnsi="仿宋" w:eastAsia="仿宋" w:cs="仿宋"/>
          <w:b w:val="0"/>
          <w:bCs/>
          <w:sz w:val="32"/>
          <w:szCs w:val="32"/>
        </w:rPr>
        <w:t>与多家企业建立合作关系，设立校外实训基地，为学生提供岗位实习和就业支持，实现校企深度融合。</w:t>
      </w:r>
    </w:p>
    <w:p w14:paraId="6111AC33">
      <w:pPr>
        <w:pStyle w:val="4"/>
        <w:numPr>
          <w:ilvl w:val="0"/>
          <w:numId w:val="12"/>
        </w:numPr>
        <w:ind w:left="420" w:leftChars="0" w:hanging="420" w:firstLineChars="0"/>
        <w:rPr>
          <w:rFonts w:hint="eastAsia" w:ascii="仿宋" w:hAnsi="仿宋" w:eastAsia="仿宋" w:cs="仿宋"/>
          <w:b w:val="0"/>
          <w:bCs/>
          <w:sz w:val="32"/>
          <w:szCs w:val="32"/>
        </w:rPr>
      </w:pPr>
      <w:r>
        <w:rPr>
          <w:rFonts w:hint="eastAsia" w:ascii="仿宋" w:hAnsi="仿宋" w:eastAsia="仿宋" w:cs="仿宋"/>
          <w:b/>
          <w:sz w:val="32"/>
          <w:szCs w:val="32"/>
        </w:rPr>
        <w:t>数字资源丰富：</w:t>
      </w:r>
      <w:r>
        <w:rPr>
          <w:rFonts w:hint="eastAsia" w:ascii="仿宋" w:hAnsi="仿宋" w:eastAsia="仿宋" w:cs="仿宋"/>
          <w:b w:val="0"/>
          <w:bCs/>
          <w:sz w:val="32"/>
          <w:szCs w:val="32"/>
        </w:rPr>
        <w:t>图书馆和数字资源丰富，引进多种数字资源如CNKI中国知网全文数据库、移动图书馆等，满足学生不同阶段的学习需求。同时建设网络学习平台，支持在线学习。</w:t>
      </w:r>
    </w:p>
    <w:p w14:paraId="0C70B74A">
      <w:pPr>
        <w:pStyle w:val="4"/>
        <w:rPr>
          <w:rFonts w:hint="eastAsia" w:ascii="仿宋" w:hAnsi="仿宋" w:eastAsia="仿宋" w:cs="仿宋"/>
          <w:b w:val="0"/>
          <w:bCs/>
          <w:sz w:val="32"/>
          <w:szCs w:val="32"/>
        </w:rPr>
      </w:pPr>
      <w:r>
        <w:rPr>
          <w:rFonts w:hint="eastAsia" w:ascii="仿宋" w:hAnsi="仿宋" w:eastAsia="仿宋" w:cs="仿宋"/>
          <w:b w:val="0"/>
          <w:bCs/>
          <w:sz w:val="32"/>
          <w:szCs w:val="32"/>
        </w:rPr>
        <w:t>综上所述，各高职院校在会计专业人才培养方案上均体现了对综合素质与技能、多样化岗位定位、明确毕业要求、优化师资队伍和丰富教学设施的高度重视，旨在培养适应现代企业需求的高素质技术技能人才。</w:t>
      </w:r>
    </w:p>
    <w:p w14:paraId="10C83D48">
      <w:pPr>
        <w:pStyle w:val="4"/>
        <w:ind w:firstLine="643"/>
        <w:outlineLvl w:val="2"/>
        <w:rPr>
          <w:rFonts w:hint="eastAsia" w:ascii="仿宋" w:hAnsi="仿宋" w:eastAsia="仿宋" w:cs="仿宋"/>
          <w:b/>
          <w:sz w:val="32"/>
          <w:szCs w:val="32"/>
          <w:lang w:val="en-US" w:eastAsia="zh-CN"/>
        </w:rPr>
      </w:pPr>
      <w:bookmarkStart w:id="87" w:name="_Toc25039"/>
      <w:r>
        <w:rPr>
          <w:rFonts w:hint="eastAsia" w:ascii="仿宋" w:hAnsi="仿宋" w:eastAsia="仿宋" w:cs="仿宋"/>
          <w:b/>
          <w:sz w:val="32"/>
          <w:szCs w:val="32"/>
          <w:lang w:val="en-US" w:eastAsia="zh-CN"/>
        </w:rPr>
        <w:t>4.对人才培养方案的启示</w:t>
      </w:r>
      <w:bookmarkEnd w:id="87"/>
    </w:p>
    <w:p w14:paraId="5F56E6EE">
      <w:pPr>
        <w:pStyle w:val="4"/>
        <w:ind w:left="0" w:leftChars="0" w:firstLine="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（1）注重综合素质与专业技能并重</w:t>
      </w:r>
    </w:p>
    <w:p w14:paraId="194AA711">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在制定人才培养方案时，应确保公共基础课程与专业课程的平衡，既注重培养学生的思想政治素质、身心健康和通用能力，又强化专业知识和技能的学习。通过全面的课程设置，提升学生的综合素质和竞争力。</w:t>
      </w:r>
    </w:p>
    <w:p w14:paraId="384F42F9">
      <w:pPr>
        <w:spacing w:line="288" w:lineRule="auto"/>
        <w:rPr>
          <w:rFonts w:hint="eastAsia" w:ascii="仿宋" w:hAnsi="仿宋" w:eastAsia="仿宋" w:cs="仿宋"/>
          <w:szCs w:val="32"/>
        </w:rPr>
      </w:pPr>
      <w:r>
        <w:rPr>
          <w:rFonts w:hint="eastAsia" w:ascii="仿宋" w:hAnsi="仿宋" w:eastAsia="仿宋" w:cs="仿宋"/>
          <w:b/>
          <w:bCs/>
          <w:szCs w:val="32"/>
          <w:lang w:val="en-US" w:eastAsia="zh-CN"/>
        </w:rPr>
        <w:t>（2）</w:t>
      </w:r>
      <w:r>
        <w:rPr>
          <w:rFonts w:hint="eastAsia" w:ascii="仿宋" w:hAnsi="仿宋" w:eastAsia="仿宋" w:cs="仿宋"/>
          <w:b/>
          <w:bCs/>
          <w:szCs w:val="32"/>
        </w:rPr>
        <w:t>强化实践教学环节</w:t>
      </w:r>
    </w:p>
    <w:p w14:paraId="736BE358">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实践教学是高职教育的重要组成部分，应加大实践课程的比重，增加实训、实习等实践教学环节。通过校企合作、工学结合等方式，让学生在实际工作环境中学习和锻炼，提高实际操作能力和问题解决能力。</w:t>
      </w:r>
    </w:p>
    <w:p w14:paraId="5D06B9F4">
      <w:pPr>
        <w:spacing w:line="288" w:lineRule="auto"/>
        <w:rPr>
          <w:rFonts w:hint="eastAsia" w:ascii="仿宋" w:hAnsi="仿宋" w:eastAsia="仿宋" w:cs="仿宋"/>
          <w:szCs w:val="32"/>
        </w:rPr>
      </w:pPr>
      <w:r>
        <w:rPr>
          <w:rFonts w:hint="eastAsia" w:ascii="仿宋" w:hAnsi="仿宋" w:eastAsia="仿宋" w:cs="仿宋"/>
          <w:b/>
          <w:bCs/>
          <w:szCs w:val="32"/>
          <w:lang w:val="en-US" w:eastAsia="zh-CN"/>
        </w:rPr>
        <w:t>（3）</w:t>
      </w:r>
      <w:r>
        <w:rPr>
          <w:rFonts w:hint="eastAsia" w:ascii="仿宋" w:hAnsi="仿宋" w:eastAsia="仿宋" w:cs="仿宋"/>
          <w:b/>
          <w:bCs/>
          <w:szCs w:val="32"/>
        </w:rPr>
        <w:t>紧跟时代发展，引入新技术</w:t>
      </w:r>
    </w:p>
    <w:p w14:paraId="46D60BE1">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随着技术的不断进步和产业结构的调整，人才培养方案应及时更新，引入新技术、新技能的学习内容。通过开设职业拓展课程、选修课程等方式，拓宽学生的知识面，培养学生的创新能力和对新技术的适应能力。</w:t>
      </w:r>
    </w:p>
    <w:p w14:paraId="4CE61E78">
      <w:pPr>
        <w:spacing w:line="288" w:lineRule="auto"/>
        <w:rPr>
          <w:rFonts w:hint="eastAsia" w:ascii="仿宋" w:hAnsi="仿宋" w:eastAsia="仿宋" w:cs="仿宋"/>
          <w:szCs w:val="32"/>
        </w:rPr>
      </w:pPr>
      <w:r>
        <w:rPr>
          <w:rFonts w:hint="eastAsia" w:ascii="仿宋" w:hAnsi="仿宋" w:eastAsia="仿宋" w:cs="仿宋"/>
          <w:b/>
          <w:bCs/>
          <w:szCs w:val="32"/>
          <w:lang w:eastAsia="zh-CN"/>
        </w:rPr>
        <w:t>（</w:t>
      </w:r>
      <w:r>
        <w:rPr>
          <w:rFonts w:hint="eastAsia" w:ascii="仿宋" w:hAnsi="仿宋" w:eastAsia="仿宋" w:cs="仿宋"/>
          <w:b/>
          <w:bCs/>
          <w:szCs w:val="32"/>
          <w:lang w:val="en-US" w:eastAsia="zh-CN"/>
        </w:rPr>
        <w:t>4</w:t>
      </w:r>
      <w:r>
        <w:rPr>
          <w:rFonts w:hint="eastAsia" w:ascii="仿宋" w:hAnsi="仿宋" w:eastAsia="仿宋" w:cs="仿宋"/>
          <w:b/>
          <w:bCs/>
          <w:szCs w:val="32"/>
          <w:lang w:eastAsia="zh-CN"/>
        </w:rPr>
        <w:t>）</w:t>
      </w:r>
      <w:r>
        <w:rPr>
          <w:rFonts w:hint="eastAsia" w:ascii="仿宋" w:hAnsi="仿宋" w:eastAsia="仿宋" w:cs="仿宋"/>
          <w:b/>
          <w:bCs/>
          <w:szCs w:val="32"/>
        </w:rPr>
        <w:t>注重课程设置的灵活性与多样性</w:t>
      </w:r>
    </w:p>
    <w:p w14:paraId="07FB3D08">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在制定人才培养方案时，应充分考虑不同专业的特点和需求，灵活设置课程内容和课时安排。同时，增加选修课程的种类和数量，满足学生个性化发展的需求，提高学生的自主选择权和学习兴趣。</w:t>
      </w:r>
    </w:p>
    <w:p w14:paraId="7B2FC34F">
      <w:pPr>
        <w:spacing w:line="288" w:lineRule="auto"/>
        <w:rPr>
          <w:rFonts w:hint="eastAsia" w:ascii="仿宋" w:hAnsi="仿宋" w:eastAsia="仿宋" w:cs="仿宋"/>
          <w:szCs w:val="32"/>
        </w:rPr>
      </w:pPr>
      <w:r>
        <w:rPr>
          <w:rFonts w:hint="eastAsia" w:ascii="仿宋" w:hAnsi="仿宋" w:eastAsia="仿宋" w:cs="仿宋"/>
          <w:b/>
          <w:bCs/>
          <w:szCs w:val="32"/>
          <w:lang w:val="en-US" w:eastAsia="zh-CN"/>
        </w:rPr>
        <w:t>（5）</w:t>
      </w:r>
      <w:r>
        <w:rPr>
          <w:rFonts w:hint="eastAsia" w:ascii="仿宋" w:hAnsi="仿宋" w:eastAsia="仿宋" w:cs="仿宋"/>
          <w:b/>
          <w:bCs/>
          <w:szCs w:val="32"/>
        </w:rPr>
        <w:t>强化课程与培养目标的紧密联系</w:t>
      </w:r>
    </w:p>
    <w:p w14:paraId="0AB08D79">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课程设置应紧密围绕培养目标进行规划，确保每一门课程都对实现培养目标具有积极作用。通过科学合理的课程安排和课时分配，形成完整的人才培养体系，确保学生能够达到预期的培养效果。</w:t>
      </w:r>
    </w:p>
    <w:p w14:paraId="6761A921">
      <w:pPr>
        <w:spacing w:line="288" w:lineRule="auto"/>
        <w:rPr>
          <w:rFonts w:hint="eastAsia" w:ascii="仿宋" w:hAnsi="仿宋" w:eastAsia="仿宋" w:cs="仿宋"/>
          <w:szCs w:val="32"/>
        </w:rPr>
      </w:pPr>
      <w:r>
        <w:rPr>
          <w:rFonts w:hint="eastAsia" w:ascii="仿宋" w:hAnsi="仿宋" w:eastAsia="仿宋" w:cs="仿宋"/>
          <w:b/>
          <w:bCs/>
          <w:szCs w:val="32"/>
          <w:lang w:eastAsia="zh-CN"/>
        </w:rPr>
        <w:t>（</w:t>
      </w:r>
      <w:r>
        <w:rPr>
          <w:rFonts w:hint="eastAsia" w:ascii="仿宋" w:hAnsi="仿宋" w:eastAsia="仿宋" w:cs="仿宋"/>
          <w:b/>
          <w:bCs/>
          <w:szCs w:val="32"/>
          <w:lang w:val="en-US" w:eastAsia="zh-CN"/>
        </w:rPr>
        <w:t>6</w:t>
      </w:r>
      <w:r>
        <w:rPr>
          <w:rFonts w:hint="eastAsia" w:ascii="仿宋" w:hAnsi="仿宋" w:eastAsia="仿宋" w:cs="仿宋"/>
          <w:b/>
          <w:bCs/>
          <w:szCs w:val="32"/>
          <w:lang w:eastAsia="zh-CN"/>
        </w:rPr>
        <w:t>）</w:t>
      </w:r>
      <w:r>
        <w:rPr>
          <w:rFonts w:hint="eastAsia" w:ascii="仿宋" w:hAnsi="仿宋" w:eastAsia="仿宋" w:cs="仿宋"/>
          <w:b/>
          <w:bCs/>
          <w:szCs w:val="32"/>
        </w:rPr>
        <w:t>加强师资队伍建设</w:t>
      </w:r>
    </w:p>
    <w:p w14:paraId="0A7B63D2">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高质量的师资队伍是保障人才培养方案顺利实施的关键。应加强教师的专业培训和进修学习，提高教师的教学水平和专业素养。同时，积极引进优秀人才，充实师资队伍，为人才培养方案的实施提供有力保障。</w:t>
      </w:r>
    </w:p>
    <w:p w14:paraId="6066A6A8">
      <w:pPr>
        <w:spacing w:line="288" w:lineRule="auto"/>
        <w:rPr>
          <w:rFonts w:hint="eastAsia" w:ascii="仿宋" w:hAnsi="仿宋" w:eastAsia="仿宋" w:cs="仿宋"/>
          <w:b/>
          <w:bCs/>
          <w:szCs w:val="32"/>
        </w:rPr>
      </w:pPr>
      <w:r>
        <w:rPr>
          <w:rFonts w:hint="eastAsia" w:ascii="仿宋" w:hAnsi="仿宋" w:eastAsia="仿宋" w:cs="仿宋"/>
          <w:b/>
          <w:bCs/>
          <w:szCs w:val="32"/>
          <w:lang w:eastAsia="zh-CN"/>
        </w:rPr>
        <w:t>（</w:t>
      </w:r>
      <w:r>
        <w:rPr>
          <w:rFonts w:hint="eastAsia" w:ascii="仿宋" w:hAnsi="仿宋" w:eastAsia="仿宋" w:cs="仿宋"/>
          <w:b/>
          <w:bCs/>
          <w:szCs w:val="32"/>
          <w:lang w:val="en-US" w:eastAsia="zh-CN"/>
        </w:rPr>
        <w:t>7</w:t>
      </w:r>
      <w:r>
        <w:rPr>
          <w:rFonts w:hint="eastAsia" w:ascii="仿宋" w:hAnsi="仿宋" w:eastAsia="仿宋" w:cs="仿宋"/>
          <w:b/>
          <w:bCs/>
          <w:szCs w:val="32"/>
          <w:lang w:eastAsia="zh-CN"/>
        </w:rPr>
        <w:t>）</w:t>
      </w:r>
      <w:r>
        <w:rPr>
          <w:rFonts w:hint="eastAsia" w:ascii="仿宋" w:hAnsi="仿宋" w:eastAsia="仿宋" w:cs="仿宋"/>
          <w:b/>
          <w:bCs/>
          <w:szCs w:val="32"/>
        </w:rPr>
        <w:t>建立健全的质量监控和评估机制</w:t>
      </w:r>
    </w:p>
    <w:p w14:paraId="782318E8">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制定人才培养方案后，应建立健全的质量监控和评估机制，定期对课程实施效果进行评估和反馈。通过收集学生、教师和社会各方面的意见和建议，及时发现问题并进行改进，确保人才培养方案的持续优化和提升。</w:t>
      </w:r>
    </w:p>
    <w:p w14:paraId="3341160B">
      <w:pPr>
        <w:spacing w:line="288" w:lineRule="auto"/>
        <w:ind w:firstLine="640" w:firstLineChars="200"/>
        <w:rPr>
          <w:rFonts w:hint="eastAsia" w:ascii="仿宋" w:hAnsi="仿宋" w:eastAsia="仿宋" w:cs="仿宋"/>
          <w:b w:val="0"/>
          <w:bCs/>
          <w:sz w:val="32"/>
          <w:szCs w:val="32"/>
          <w:lang w:val="en-US" w:eastAsia="zh-CN"/>
        </w:rPr>
      </w:pPr>
      <w:r>
        <w:rPr>
          <w:rFonts w:hint="eastAsia" w:ascii="仿宋" w:hAnsi="仿宋" w:eastAsia="仿宋" w:cs="仿宋"/>
          <w:szCs w:val="32"/>
        </w:rPr>
        <w:t>综上所述，制定人才培养方案时应注重综合素质与专业技能并重、强化实践教学环节、紧跟时代发展引入新技术、注重课程设置的灵活性与多样性、强化课程与培养目标的紧密联系、加强师资队伍建设以及建立健全的质量监控和评估机制。通过这些措施的实施，可以培养出更多高素质技能型人才，满足社会经济发展的需要。</w:t>
      </w:r>
    </w:p>
    <w:bookmarkEnd w:id="83"/>
    <w:p w14:paraId="4129005B">
      <w:pPr>
        <w:ind w:firstLine="643" w:firstLineChars="200"/>
        <w:outlineLvl w:val="1"/>
        <w:rPr>
          <w:rFonts w:hint="eastAsia" w:ascii="仿宋" w:hAnsi="仿宋" w:eastAsia="仿宋" w:cs="仿宋"/>
          <w:b/>
          <w:szCs w:val="32"/>
          <w:lang w:val="en-US" w:eastAsia="zh-CN"/>
        </w:rPr>
      </w:pPr>
      <w:bookmarkStart w:id="88" w:name="_Toc13829"/>
      <w:r>
        <w:rPr>
          <w:rFonts w:hint="eastAsia" w:ascii="仿宋" w:hAnsi="仿宋" w:eastAsia="仿宋" w:cs="仿宋"/>
          <w:b/>
          <w:szCs w:val="32"/>
          <w:lang w:val="en-US" w:eastAsia="zh-CN"/>
        </w:rPr>
        <w:t>（六）职业本科人才培养方案的分析</w:t>
      </w:r>
      <w:bookmarkEnd w:id="88"/>
    </w:p>
    <w:p w14:paraId="013E0584">
      <w:pPr>
        <w:pStyle w:val="4"/>
        <w:ind w:firstLine="643"/>
        <w:outlineLvl w:val="2"/>
        <w:rPr>
          <w:rFonts w:hint="eastAsia" w:ascii="仿宋" w:hAnsi="仿宋" w:eastAsia="仿宋" w:cs="仿宋"/>
          <w:b/>
          <w:sz w:val="32"/>
          <w:szCs w:val="32"/>
          <w:lang w:val="en-US" w:eastAsia="zh-CN"/>
        </w:rPr>
      </w:pPr>
      <w:bookmarkStart w:id="89" w:name="_Toc26661"/>
      <w:r>
        <w:rPr>
          <w:rFonts w:hint="eastAsia" w:ascii="仿宋" w:hAnsi="仿宋" w:eastAsia="仿宋" w:cs="仿宋"/>
          <w:b/>
          <w:sz w:val="32"/>
          <w:szCs w:val="32"/>
          <w:lang w:val="en-US" w:eastAsia="zh-CN"/>
        </w:rPr>
        <w:t>1.3间职教本科人才培养方案的主要内容</w:t>
      </w:r>
      <w:bookmarkEnd w:id="89"/>
    </w:p>
    <w:p w14:paraId="07D347DC">
      <w:pPr>
        <w:pStyle w:val="4"/>
        <w:ind w:firstLine="643"/>
        <w:outlineLvl w:val="9"/>
        <w:rPr>
          <w:rFonts w:hint="eastAsia" w:ascii="仿宋" w:hAnsi="仿宋" w:eastAsia="仿宋" w:cs="仿宋"/>
          <w:b/>
          <w:sz w:val="32"/>
          <w:szCs w:val="32"/>
          <w:lang w:val="en-US" w:eastAsia="zh-CN"/>
        </w:rPr>
      </w:pPr>
      <w:r>
        <w:rPr>
          <w:rFonts w:hint="eastAsia" w:ascii="仿宋" w:hAnsi="仿宋" w:eastAsia="仿宋" w:cs="仿宋"/>
        </w:rPr>
        <w:drawing>
          <wp:inline distT="0" distB="0" distL="114300" distR="114300">
            <wp:extent cx="5267960" cy="4568190"/>
            <wp:effectExtent l="0" t="0" r="2540"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267960" cy="4568190"/>
                    </a:xfrm>
                    <a:prstGeom prst="rect">
                      <a:avLst/>
                    </a:prstGeom>
                    <a:noFill/>
                    <a:ln>
                      <a:noFill/>
                    </a:ln>
                  </pic:spPr>
                </pic:pic>
              </a:graphicData>
            </a:graphic>
          </wp:inline>
        </w:drawing>
      </w:r>
    </w:p>
    <w:p w14:paraId="7343C553">
      <w:pPr>
        <w:pStyle w:val="4"/>
        <w:ind w:firstLine="643"/>
        <w:outlineLvl w:val="2"/>
        <w:rPr>
          <w:rFonts w:hint="eastAsia" w:ascii="仿宋" w:hAnsi="仿宋" w:eastAsia="仿宋" w:cs="仿宋"/>
          <w:b/>
          <w:sz w:val="32"/>
          <w:szCs w:val="32"/>
          <w:lang w:val="en-US" w:eastAsia="zh-CN"/>
        </w:rPr>
      </w:pPr>
      <w:bookmarkStart w:id="90" w:name="_Toc1092"/>
      <w:r>
        <w:rPr>
          <w:rFonts w:hint="eastAsia" w:ascii="仿宋" w:hAnsi="仿宋" w:eastAsia="仿宋" w:cs="仿宋"/>
          <w:b/>
          <w:sz w:val="32"/>
          <w:szCs w:val="32"/>
          <w:lang w:val="en-US" w:eastAsia="zh-CN"/>
        </w:rPr>
        <w:t>2.3间职教本科人才培养方案的课时设置</w:t>
      </w:r>
      <w:bookmarkEnd w:id="90"/>
    </w:p>
    <w:p w14:paraId="3ED38C40">
      <w:pPr>
        <w:pStyle w:val="4"/>
        <w:ind w:firstLine="643"/>
        <w:outlineLvl w:val="9"/>
        <w:rPr>
          <w:rFonts w:hint="eastAsia" w:ascii="仿宋" w:hAnsi="仿宋" w:eastAsia="仿宋" w:cs="仿宋"/>
          <w:b/>
          <w:sz w:val="32"/>
          <w:szCs w:val="32"/>
          <w:lang w:val="en-US" w:eastAsia="zh-CN"/>
        </w:rPr>
      </w:pPr>
      <w:r>
        <w:rPr>
          <w:rFonts w:hint="eastAsia" w:ascii="仿宋" w:hAnsi="仿宋" w:eastAsia="仿宋" w:cs="仿宋"/>
        </w:rPr>
        <w:drawing>
          <wp:inline distT="0" distB="0" distL="114300" distR="114300">
            <wp:extent cx="3842385" cy="8927465"/>
            <wp:effectExtent l="0" t="0" r="5715"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3842385" cy="8927465"/>
                    </a:xfrm>
                    <a:prstGeom prst="rect">
                      <a:avLst/>
                    </a:prstGeom>
                    <a:noFill/>
                    <a:ln>
                      <a:noFill/>
                    </a:ln>
                  </pic:spPr>
                </pic:pic>
              </a:graphicData>
            </a:graphic>
          </wp:inline>
        </w:drawing>
      </w:r>
    </w:p>
    <w:p w14:paraId="038B6434">
      <w:pPr>
        <w:pStyle w:val="4"/>
        <w:ind w:firstLine="643"/>
        <w:outlineLvl w:val="2"/>
        <w:rPr>
          <w:rFonts w:hint="eastAsia" w:ascii="仿宋" w:hAnsi="仿宋" w:eastAsia="仿宋" w:cs="仿宋"/>
          <w:b/>
          <w:sz w:val="32"/>
          <w:szCs w:val="32"/>
          <w:lang w:val="en-US" w:eastAsia="zh-CN"/>
        </w:rPr>
      </w:pPr>
      <w:bookmarkStart w:id="91" w:name="_Toc7196"/>
      <w:r>
        <w:rPr>
          <w:rFonts w:hint="eastAsia" w:ascii="仿宋" w:hAnsi="仿宋" w:eastAsia="仿宋" w:cs="仿宋"/>
          <w:b/>
          <w:sz w:val="32"/>
          <w:szCs w:val="32"/>
          <w:lang w:val="en-US" w:eastAsia="zh-CN"/>
        </w:rPr>
        <w:t>3.职教本科人才培养方案的特点</w:t>
      </w:r>
      <w:bookmarkEnd w:id="91"/>
      <w:r>
        <w:rPr>
          <w:rFonts w:hint="eastAsia" w:ascii="仿宋" w:hAnsi="仿宋" w:eastAsia="仿宋" w:cs="仿宋"/>
          <w:b/>
          <w:sz w:val="32"/>
          <w:szCs w:val="32"/>
          <w:lang w:val="en-US" w:eastAsia="zh-CN"/>
        </w:rPr>
        <w:t xml:space="preserve"> </w:t>
      </w:r>
    </w:p>
    <w:p w14:paraId="57022D9F">
      <w:pPr>
        <w:pStyle w:val="4"/>
        <w:numPr>
          <w:ilvl w:val="0"/>
          <w:numId w:val="0"/>
        </w:num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（1）专业培养目标</w:t>
      </w:r>
    </w:p>
    <w:p w14:paraId="10C303F8">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全面发展：</w:t>
      </w:r>
      <w:r>
        <w:rPr>
          <w:rFonts w:hint="eastAsia" w:ascii="仿宋" w:hAnsi="仿宋" w:eastAsia="仿宋" w:cs="仿宋"/>
          <w:b w:val="0"/>
          <w:bCs/>
          <w:sz w:val="32"/>
          <w:szCs w:val="32"/>
          <w:lang w:val="en-US" w:eastAsia="zh-CN"/>
        </w:rPr>
        <w:t>各校均强调培养德智体美劳全面发展的高素质技术技能人才。</w:t>
      </w:r>
    </w:p>
    <w:p w14:paraId="391A87A1">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技术技能：</w:t>
      </w:r>
      <w:r>
        <w:rPr>
          <w:rFonts w:hint="eastAsia" w:ascii="仿宋" w:hAnsi="仿宋" w:eastAsia="仿宋" w:cs="仿宋"/>
          <w:b w:val="0"/>
          <w:bCs/>
          <w:sz w:val="32"/>
          <w:szCs w:val="32"/>
          <w:lang w:val="en-US" w:eastAsia="zh-CN"/>
        </w:rPr>
        <w:t>专注于会计核算、税务管理、财务管理等专业技能，强调技术实践应用能力、创新创业能力和可持续发展能力。</w:t>
      </w:r>
    </w:p>
    <w:p w14:paraId="1FE83665">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高层次技能：</w:t>
      </w:r>
      <w:r>
        <w:rPr>
          <w:rFonts w:hint="eastAsia" w:ascii="仿宋" w:hAnsi="仿宋" w:eastAsia="仿宋" w:cs="仿宋"/>
          <w:b w:val="0"/>
          <w:bCs/>
          <w:sz w:val="32"/>
          <w:szCs w:val="32"/>
          <w:lang w:val="en-US" w:eastAsia="zh-CN"/>
        </w:rPr>
        <w:t>旨在培养能胜任中高端技术岗位的高层次人才，满足工商企业、事业单位及政府部门的需求。</w:t>
      </w:r>
    </w:p>
    <w:p w14:paraId="120E7021">
      <w:pPr>
        <w:pStyle w:val="4"/>
        <w:numPr>
          <w:ilvl w:val="0"/>
          <w:numId w:val="0"/>
        </w:num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（2）专业岗位定位</w:t>
      </w:r>
    </w:p>
    <w:p w14:paraId="618542C9">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中高端岗位</w:t>
      </w:r>
      <w:r>
        <w:rPr>
          <w:rFonts w:hint="eastAsia" w:ascii="仿宋" w:hAnsi="仿宋" w:eastAsia="仿宋" w:cs="仿宋"/>
          <w:b w:val="0"/>
          <w:bCs/>
          <w:sz w:val="32"/>
          <w:szCs w:val="32"/>
          <w:lang w:val="en-US" w:eastAsia="zh-CN"/>
        </w:rPr>
        <w:t>：面向会计、税务、财务管理等中高端技术岗位，如会计核算、涉税服务、财务大数据分析管理等。</w:t>
      </w:r>
    </w:p>
    <w:p w14:paraId="28C09C15">
      <w:pPr>
        <w:pStyle w:val="4"/>
        <w:numPr>
          <w:ilvl w:val="0"/>
          <w:numId w:val="13"/>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多样化需求：</w:t>
      </w:r>
      <w:r>
        <w:rPr>
          <w:rFonts w:hint="eastAsia" w:ascii="仿宋" w:hAnsi="仿宋" w:eastAsia="仿宋" w:cs="仿宋"/>
          <w:b w:val="0"/>
          <w:bCs/>
          <w:sz w:val="32"/>
          <w:szCs w:val="32"/>
          <w:lang w:val="en-US" w:eastAsia="zh-CN"/>
        </w:rPr>
        <w:t>满足不同企事业单位对会计、税务、审计及管理咨询等职业群的需求。</w:t>
      </w:r>
    </w:p>
    <w:p w14:paraId="0F1609CB">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新技术应用：</w:t>
      </w:r>
      <w:r>
        <w:rPr>
          <w:rFonts w:hint="eastAsia" w:ascii="仿宋" w:hAnsi="仿宋" w:eastAsia="仿宋" w:cs="仿宋"/>
          <w:b w:val="0"/>
          <w:bCs/>
          <w:sz w:val="32"/>
          <w:szCs w:val="32"/>
          <w:lang w:val="en-US" w:eastAsia="zh-CN"/>
        </w:rPr>
        <w:t>适应新技术、新岗位的要求，如大数据技术在财务中的应用、业财一体程序设计等。</w:t>
      </w:r>
    </w:p>
    <w:p w14:paraId="5901E6DF">
      <w:pPr>
        <w:pStyle w:val="4"/>
        <w:numPr>
          <w:ilvl w:val="0"/>
          <w:numId w:val="0"/>
        </w:num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（3）专业核心能力</w:t>
      </w:r>
    </w:p>
    <w:p w14:paraId="252221D4">
      <w:pPr>
        <w:pStyle w:val="4"/>
        <w:numPr>
          <w:ilvl w:val="0"/>
          <w:numId w:val="13"/>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核心技能组合：</w:t>
      </w:r>
      <w:r>
        <w:rPr>
          <w:rFonts w:hint="eastAsia" w:ascii="仿宋" w:hAnsi="仿宋" w:eastAsia="仿宋" w:cs="仿宋"/>
          <w:b w:val="0"/>
          <w:bCs/>
          <w:sz w:val="32"/>
          <w:szCs w:val="32"/>
          <w:lang w:val="en-US" w:eastAsia="zh-CN"/>
        </w:rPr>
        <w:t>包括会计核算、税务管理、财务管理、数据管理、创新创业能力等。</w:t>
      </w:r>
    </w:p>
    <w:p w14:paraId="1D5D6F64">
      <w:pPr>
        <w:pStyle w:val="4"/>
        <w:numPr>
          <w:ilvl w:val="0"/>
          <w:numId w:val="13"/>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大数据技术：</w:t>
      </w:r>
      <w:r>
        <w:rPr>
          <w:rFonts w:hint="eastAsia" w:ascii="仿宋" w:hAnsi="仿宋" w:eastAsia="仿宋" w:cs="仿宋"/>
          <w:b w:val="0"/>
          <w:bCs/>
          <w:sz w:val="32"/>
          <w:szCs w:val="32"/>
          <w:lang w:val="en-US" w:eastAsia="zh-CN"/>
        </w:rPr>
        <w:t>特别强调运用大数据技术进行财务数据挖掘、分析、可视化呈现等能力。</w:t>
      </w:r>
    </w:p>
    <w:p w14:paraId="24FD1325">
      <w:pPr>
        <w:pStyle w:val="4"/>
        <w:numPr>
          <w:ilvl w:val="0"/>
          <w:numId w:val="13"/>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国际化视野：</w:t>
      </w:r>
      <w:r>
        <w:rPr>
          <w:rFonts w:hint="eastAsia" w:ascii="仿宋" w:hAnsi="仿宋" w:eastAsia="仿宋" w:cs="仿宋"/>
          <w:b w:val="0"/>
          <w:bCs/>
          <w:sz w:val="32"/>
          <w:szCs w:val="32"/>
          <w:lang w:val="en-US" w:eastAsia="zh-CN"/>
        </w:rPr>
        <w:t>如山西工程科技职业大学提到国际视野能力，要求学生具备较高的英语水平、国际视野和跨文化交际能力。</w:t>
      </w:r>
    </w:p>
    <w:p w14:paraId="0BCB89FD">
      <w:pPr>
        <w:pStyle w:val="4"/>
        <w:numPr>
          <w:ilvl w:val="0"/>
          <w:numId w:val="0"/>
        </w:num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（4）毕业要求：</w:t>
      </w:r>
    </w:p>
    <w:p w14:paraId="398A2CF1">
      <w:pPr>
        <w:pStyle w:val="4"/>
        <w:numPr>
          <w:ilvl w:val="0"/>
          <w:numId w:val="13"/>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学分要求：</w:t>
      </w:r>
      <w:r>
        <w:rPr>
          <w:rFonts w:hint="eastAsia" w:ascii="仿宋" w:hAnsi="仿宋" w:eastAsia="仿宋" w:cs="仿宋"/>
          <w:b w:val="0"/>
          <w:bCs/>
          <w:sz w:val="32"/>
          <w:szCs w:val="32"/>
          <w:lang w:val="en-US" w:eastAsia="zh-CN"/>
        </w:rPr>
        <w:t>各校均设定了具体的学分要求，包括必修课和选修课学分，以及毕业论文（设计）合格等。</w:t>
      </w:r>
    </w:p>
    <w:p w14:paraId="0F43612A">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证书要求：</w:t>
      </w:r>
      <w:r>
        <w:rPr>
          <w:rFonts w:hint="eastAsia" w:ascii="仿宋" w:hAnsi="仿宋" w:eastAsia="仿宋" w:cs="仿宋"/>
          <w:b w:val="0"/>
          <w:bCs/>
          <w:sz w:val="32"/>
          <w:szCs w:val="32"/>
          <w:lang w:val="en-US" w:eastAsia="zh-CN"/>
        </w:rPr>
        <w:t>鼓励学生获取职业技能等级证书和“1+X”证书，提升就业竞争力。</w:t>
      </w:r>
    </w:p>
    <w:p w14:paraId="0B3F3EB5">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综合考核：</w:t>
      </w:r>
      <w:r>
        <w:rPr>
          <w:rFonts w:hint="eastAsia" w:ascii="仿宋" w:hAnsi="仿宋" w:eastAsia="仿宋" w:cs="仿宋"/>
          <w:b w:val="0"/>
          <w:bCs/>
          <w:sz w:val="32"/>
          <w:szCs w:val="32"/>
          <w:lang w:val="en-US" w:eastAsia="zh-CN"/>
        </w:rPr>
        <w:t>如德育考核合格、学分绩点达到学校最低要求等。</w:t>
      </w:r>
    </w:p>
    <w:p w14:paraId="0CE45CC9">
      <w:pPr>
        <w:pStyle w:val="4"/>
        <w:numPr>
          <w:ilvl w:val="0"/>
          <w:numId w:val="0"/>
        </w:num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（5）师资队伍</w:t>
      </w:r>
    </w:p>
    <w:p w14:paraId="737B8B15">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高素质教师：</w:t>
      </w:r>
      <w:r>
        <w:rPr>
          <w:rFonts w:hint="eastAsia" w:ascii="仿宋" w:hAnsi="仿宋" w:eastAsia="仿宋" w:cs="仿宋"/>
          <w:b w:val="0"/>
          <w:bCs/>
          <w:sz w:val="32"/>
          <w:szCs w:val="32"/>
          <w:lang w:val="en-US" w:eastAsia="zh-CN"/>
        </w:rPr>
        <w:t>专任教师中具有高级职称和研究生学历的比例较高，双师型教师占比较大。</w:t>
      </w:r>
    </w:p>
    <w:p w14:paraId="72BB444C">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行业专家参与：</w:t>
      </w:r>
      <w:r>
        <w:rPr>
          <w:rFonts w:hint="eastAsia" w:ascii="仿宋" w:hAnsi="仿宋" w:eastAsia="仿宋" w:cs="仿宋"/>
          <w:b w:val="0"/>
          <w:bCs/>
          <w:sz w:val="32"/>
          <w:szCs w:val="32"/>
          <w:lang w:val="en-US" w:eastAsia="zh-CN"/>
        </w:rPr>
        <w:t>聘请企业兼职教师，承担专业课教学任务，增强教学与实践的结合。</w:t>
      </w:r>
    </w:p>
    <w:p w14:paraId="22A7AB8F">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持续培训：</w:t>
      </w:r>
      <w:r>
        <w:rPr>
          <w:rFonts w:hint="eastAsia" w:ascii="仿宋" w:hAnsi="仿宋" w:eastAsia="仿宋" w:cs="仿宋"/>
          <w:b w:val="0"/>
          <w:bCs/>
          <w:sz w:val="32"/>
          <w:szCs w:val="32"/>
          <w:lang w:val="en-US" w:eastAsia="zh-CN"/>
        </w:rPr>
        <w:t>专任教师需定期在生产性实训基地锻炼，保持与行业发展的同步。</w:t>
      </w:r>
    </w:p>
    <w:p w14:paraId="287F2103">
      <w:pPr>
        <w:pStyle w:val="4"/>
        <w:numPr>
          <w:ilvl w:val="0"/>
          <w:numId w:val="0"/>
        </w:num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（6）教学设施</w:t>
      </w:r>
    </w:p>
    <w:p w14:paraId="5007B09F">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先进实训设备：</w:t>
      </w:r>
      <w:r>
        <w:rPr>
          <w:rFonts w:hint="eastAsia" w:ascii="仿宋" w:hAnsi="仿宋" w:eastAsia="仿宋" w:cs="仿宋"/>
          <w:b w:val="0"/>
          <w:bCs/>
          <w:sz w:val="32"/>
          <w:szCs w:val="32"/>
          <w:lang w:val="en-US" w:eastAsia="zh-CN"/>
        </w:rPr>
        <w:t>配备多媒体实验室、财经类实习实训基地、财务共享中心等先进设施。</w:t>
      </w:r>
    </w:p>
    <w:p w14:paraId="72CE7211">
      <w:pPr>
        <w:pStyle w:val="4"/>
        <w:numPr>
          <w:ilvl w:val="0"/>
          <w:numId w:val="13"/>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校企合作：</w:t>
      </w:r>
      <w:r>
        <w:rPr>
          <w:rFonts w:hint="eastAsia" w:ascii="仿宋" w:hAnsi="仿宋" w:eastAsia="仿宋" w:cs="仿宋"/>
          <w:b w:val="0"/>
          <w:bCs/>
          <w:sz w:val="32"/>
          <w:szCs w:val="32"/>
          <w:lang w:val="en-US" w:eastAsia="zh-CN"/>
        </w:rPr>
        <w:t>与企业合作建成多个实验室和实训基地，提供真实或模拟的工作环境。</w:t>
      </w:r>
    </w:p>
    <w:p w14:paraId="6251C4DA">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教学软件支持：</w:t>
      </w:r>
      <w:r>
        <w:rPr>
          <w:rFonts w:hint="eastAsia" w:ascii="仿宋" w:hAnsi="仿宋" w:eastAsia="仿宋" w:cs="仿宋"/>
          <w:b w:val="0"/>
          <w:bCs/>
          <w:sz w:val="32"/>
          <w:szCs w:val="32"/>
          <w:lang w:val="en-US" w:eastAsia="zh-CN"/>
        </w:rPr>
        <w:t>配备多种教学软件，满足学生实验和实训需求，提升教学效果。</w:t>
      </w:r>
    </w:p>
    <w:p w14:paraId="5CBF71EF">
      <w:pPr>
        <w:pStyle w:val="4"/>
        <w:numPr>
          <w:ilvl w:val="0"/>
          <w:numId w:val="0"/>
        </w:numPr>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（7）课程设置</w:t>
      </w:r>
    </w:p>
    <w:p w14:paraId="539EA24F">
      <w:pPr>
        <w:pStyle w:val="4"/>
        <w:numPr>
          <w:ilvl w:val="0"/>
          <w:numId w:val="13"/>
        </w:numPr>
        <w:ind w:left="420" w:leftChars="0" w:hanging="420" w:firstLineChars="0"/>
        <w:rPr>
          <w:rFonts w:hint="eastAsia" w:ascii="仿宋" w:hAnsi="仿宋" w:eastAsia="仿宋" w:cs="仿宋"/>
          <w:b w:val="0"/>
          <w:bCs/>
          <w:sz w:val="32"/>
          <w:szCs w:val="32"/>
          <w:lang w:val="en-US" w:eastAsia="zh-CN"/>
        </w:rPr>
      </w:pPr>
      <w:r>
        <w:rPr>
          <w:rFonts w:hint="eastAsia" w:ascii="仿宋" w:hAnsi="仿宋" w:eastAsia="仿宋" w:cs="仿宋"/>
          <w:b/>
          <w:sz w:val="32"/>
          <w:szCs w:val="32"/>
          <w:lang w:val="en-US" w:eastAsia="zh-CN"/>
        </w:rPr>
        <w:t>课程体系完善：</w:t>
      </w:r>
      <w:r>
        <w:rPr>
          <w:rFonts w:hint="eastAsia" w:ascii="仿宋" w:hAnsi="仿宋" w:eastAsia="仿宋" w:cs="仿宋"/>
          <w:b w:val="0"/>
          <w:bCs/>
          <w:sz w:val="32"/>
          <w:szCs w:val="32"/>
          <w:lang w:val="en-US" w:eastAsia="zh-CN"/>
        </w:rPr>
        <w:t>包括公共基础课程、专业基础课、专业技能课、专业实践课和职业拓展课等。</w:t>
      </w:r>
    </w:p>
    <w:p w14:paraId="36AF7DD5">
      <w:pPr>
        <w:pStyle w:val="4"/>
        <w:numPr>
          <w:ilvl w:val="0"/>
          <w:numId w:val="13"/>
        </w:numPr>
        <w:ind w:left="420" w:leftChars="0" w:hanging="420" w:firstLineChars="0"/>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理论与实践结合：</w:t>
      </w:r>
      <w:r>
        <w:rPr>
          <w:rFonts w:hint="eastAsia" w:ascii="仿宋" w:hAnsi="仿宋" w:eastAsia="仿宋" w:cs="仿宋"/>
          <w:b w:val="0"/>
          <w:bCs/>
          <w:sz w:val="32"/>
          <w:szCs w:val="32"/>
          <w:lang w:val="en-US" w:eastAsia="zh-CN"/>
        </w:rPr>
        <w:t>注重理论与实践的结合，通过实训和实习环节提升学生的实际操作能力。</w:t>
      </w:r>
    </w:p>
    <w:p w14:paraId="4D7E3E27">
      <w:pPr>
        <w:pStyle w:val="4"/>
        <w:numPr>
          <w:ilvl w:val="0"/>
          <w:numId w:val="13"/>
        </w:numPr>
        <w:ind w:left="420" w:leftChars="0" w:hanging="420" w:firstLineChars="0"/>
        <w:rPr>
          <w:rFonts w:hint="eastAsia" w:ascii="仿宋" w:hAnsi="仿宋" w:eastAsia="仿宋" w:cs="仿宋"/>
          <w:b/>
          <w:szCs w:val="32"/>
          <w:lang w:val="en-US" w:eastAsia="zh-CN"/>
        </w:rPr>
      </w:pPr>
      <w:r>
        <w:rPr>
          <w:rFonts w:hint="eastAsia" w:ascii="仿宋" w:hAnsi="仿宋" w:eastAsia="仿宋" w:cs="仿宋"/>
          <w:b/>
          <w:sz w:val="32"/>
          <w:szCs w:val="32"/>
          <w:lang w:val="en-US" w:eastAsia="zh-CN"/>
        </w:rPr>
        <w:t>新技术融入：</w:t>
      </w:r>
      <w:r>
        <w:rPr>
          <w:rFonts w:hint="eastAsia" w:ascii="仿宋" w:hAnsi="仿宋" w:eastAsia="仿宋" w:cs="仿宋"/>
          <w:b w:val="0"/>
          <w:bCs/>
          <w:sz w:val="32"/>
          <w:szCs w:val="32"/>
          <w:lang w:val="en-US" w:eastAsia="zh-CN"/>
        </w:rPr>
        <w:t>如人工智能概论、Python语言程序设计、大数据财务分析等课程的开设，适应新技术的发展需求。</w:t>
      </w:r>
    </w:p>
    <w:p w14:paraId="3625D872">
      <w:pPr>
        <w:numPr>
          <w:ilvl w:val="0"/>
          <w:numId w:val="14"/>
        </w:numPr>
        <w:ind w:firstLine="643" w:firstLineChars="200"/>
        <w:outlineLvl w:val="1"/>
        <w:rPr>
          <w:rFonts w:hint="eastAsia" w:ascii="仿宋" w:hAnsi="仿宋" w:eastAsia="仿宋" w:cs="仿宋"/>
          <w:b/>
          <w:szCs w:val="32"/>
          <w:lang w:val="en-US" w:eastAsia="zh-CN"/>
        </w:rPr>
      </w:pPr>
      <w:bookmarkStart w:id="92" w:name="_Toc4631"/>
      <w:r>
        <w:rPr>
          <w:rFonts w:hint="eastAsia" w:ascii="仿宋" w:hAnsi="仿宋" w:eastAsia="仿宋" w:cs="仿宋"/>
          <w:b/>
          <w:szCs w:val="32"/>
          <w:lang w:val="en-US" w:eastAsia="zh-CN"/>
        </w:rPr>
        <w:t>职业本科、中职、高职人才培养方案对比分析</w:t>
      </w:r>
      <w:bookmarkEnd w:id="92"/>
    </w:p>
    <w:p w14:paraId="713DFCDE">
      <w:pPr>
        <w:pStyle w:val="4"/>
        <w:ind w:firstLine="643"/>
        <w:outlineLvl w:val="2"/>
        <w:rPr>
          <w:rFonts w:hint="eastAsia" w:ascii="仿宋" w:hAnsi="仿宋" w:eastAsia="仿宋" w:cs="仿宋"/>
          <w:b/>
          <w:sz w:val="32"/>
          <w:szCs w:val="32"/>
          <w:lang w:val="en-US" w:eastAsia="zh-CN"/>
        </w:rPr>
      </w:pPr>
      <w:bookmarkStart w:id="93" w:name="_Toc28866"/>
      <w:r>
        <w:rPr>
          <w:rFonts w:hint="eastAsia" w:ascii="仿宋" w:hAnsi="仿宋" w:eastAsia="仿宋" w:cs="仿宋"/>
          <w:b/>
          <w:sz w:val="32"/>
          <w:szCs w:val="32"/>
          <w:lang w:val="en-US" w:eastAsia="zh-CN"/>
        </w:rPr>
        <w:t>1. 培养目标定位对比分析</w:t>
      </w:r>
      <w:bookmarkEnd w:id="93"/>
    </w:p>
    <w:p w14:paraId="25238C2F">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中职：</w:t>
      </w:r>
      <w:r>
        <w:rPr>
          <w:rFonts w:hint="eastAsia" w:ascii="仿宋" w:hAnsi="仿宋" w:eastAsia="仿宋" w:cs="仿宋"/>
          <w:b w:val="0"/>
          <w:bCs/>
          <w:szCs w:val="32"/>
          <w:lang w:val="en-US" w:eastAsia="zh-CN"/>
        </w:rPr>
        <w:t>主要面向中小企业和会计服务机构，培养从事出纳、会计核算等工作的技能型人才。注重培养学生的基本职业能力和上岗能力，以及较强的实践操作能力。</w:t>
      </w:r>
    </w:p>
    <w:p w14:paraId="70A01578">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高职：</w:t>
      </w:r>
      <w:r>
        <w:rPr>
          <w:rFonts w:hint="eastAsia" w:ascii="仿宋" w:hAnsi="仿宋" w:eastAsia="仿宋" w:cs="仿宋"/>
          <w:b w:val="0"/>
          <w:bCs/>
          <w:szCs w:val="32"/>
          <w:lang w:val="en-US" w:eastAsia="zh-CN"/>
        </w:rPr>
        <w:t>培养高素质技术技能人才，不仅要求学生掌握专业知识与技能，还强调大数据处理、财务分析等能力，以适应现代财经行业的发展需求。目标岗位群包括会计、税务、审计等多个领域。</w:t>
      </w:r>
    </w:p>
    <w:p w14:paraId="210FB6FD">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职业本科：</w:t>
      </w:r>
      <w:r>
        <w:rPr>
          <w:rFonts w:hint="eastAsia" w:ascii="仿宋" w:hAnsi="仿宋" w:eastAsia="仿宋" w:cs="仿宋"/>
          <w:b w:val="0"/>
          <w:bCs/>
          <w:szCs w:val="32"/>
          <w:lang w:val="en-US" w:eastAsia="zh-CN"/>
        </w:rPr>
        <w:t>强调培养高层次技术技能人才，注重学生的全面发展，包括人文素养、职业道德、创新思维和技术实践应用能力。目标是培养能够从事中高端技术岗位的高素质人才，如会计核算、财务管理、数据分析等。</w:t>
      </w:r>
    </w:p>
    <w:p w14:paraId="7C7BE37D">
      <w:pPr>
        <w:pStyle w:val="4"/>
        <w:ind w:firstLine="643"/>
        <w:outlineLvl w:val="2"/>
        <w:rPr>
          <w:rFonts w:hint="eastAsia" w:ascii="仿宋" w:hAnsi="仿宋" w:eastAsia="仿宋" w:cs="仿宋"/>
          <w:b/>
          <w:sz w:val="32"/>
          <w:szCs w:val="32"/>
          <w:lang w:val="en-US" w:eastAsia="zh-CN"/>
        </w:rPr>
      </w:pPr>
      <w:bookmarkStart w:id="94" w:name="_Toc5743"/>
      <w:r>
        <w:rPr>
          <w:rFonts w:hint="eastAsia" w:ascii="仿宋" w:hAnsi="仿宋" w:eastAsia="仿宋" w:cs="仿宋"/>
          <w:b/>
          <w:sz w:val="32"/>
          <w:szCs w:val="32"/>
          <w:lang w:val="en-US" w:eastAsia="zh-CN"/>
        </w:rPr>
        <w:t>2. 专业岗位定位对比分析</w:t>
      </w:r>
      <w:bookmarkEnd w:id="94"/>
    </w:p>
    <w:p w14:paraId="58E5EBA1">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职业本科：</w:t>
      </w:r>
      <w:r>
        <w:rPr>
          <w:rFonts w:hint="eastAsia" w:ascii="仿宋" w:hAnsi="仿宋" w:eastAsia="仿宋" w:cs="仿宋"/>
          <w:b w:val="0"/>
          <w:bCs/>
          <w:szCs w:val="32"/>
          <w:lang w:val="en-US" w:eastAsia="zh-CN"/>
        </w:rPr>
        <w:t>定位在中高端技术岗位，如工商企业的会计核算、财务管理、数据分析等岗位，以及政府部门的财务大数据管理等岗位。</w:t>
      </w:r>
    </w:p>
    <w:p w14:paraId="382CE645">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高职：</w:t>
      </w:r>
      <w:r>
        <w:rPr>
          <w:rFonts w:hint="eastAsia" w:ascii="仿宋" w:hAnsi="仿宋" w:eastAsia="仿宋" w:cs="仿宋"/>
          <w:b w:val="0"/>
          <w:bCs/>
          <w:szCs w:val="32"/>
          <w:lang w:val="en-US" w:eastAsia="zh-CN"/>
        </w:rPr>
        <w:t>岗位定位更加广泛，包括会计、审计、税务等多个领域的基础及管理岗位，如会计助理、审计助理、税务专员等，同时也注重大数据、云计算等新技术在财经领域的应用。</w:t>
      </w:r>
    </w:p>
    <w:p w14:paraId="24250DCE">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中职：</w:t>
      </w:r>
      <w:r>
        <w:rPr>
          <w:rFonts w:hint="eastAsia" w:ascii="仿宋" w:hAnsi="仿宋" w:eastAsia="仿宋" w:cs="仿宋"/>
          <w:b w:val="0"/>
          <w:bCs/>
          <w:szCs w:val="32"/>
          <w:lang w:val="en-US" w:eastAsia="zh-CN"/>
        </w:rPr>
        <w:t>主要面向基础会计、出纳、收银等基层岗位，强调学生的实际操作能力和上岗能力。</w:t>
      </w:r>
    </w:p>
    <w:p w14:paraId="7E8AB8DE">
      <w:pPr>
        <w:pStyle w:val="4"/>
        <w:ind w:firstLine="643"/>
        <w:outlineLvl w:val="2"/>
        <w:rPr>
          <w:rFonts w:hint="eastAsia" w:ascii="仿宋" w:hAnsi="仿宋" w:eastAsia="仿宋" w:cs="仿宋"/>
          <w:b/>
          <w:sz w:val="32"/>
          <w:szCs w:val="32"/>
          <w:lang w:val="en-US" w:eastAsia="zh-CN"/>
        </w:rPr>
      </w:pPr>
      <w:bookmarkStart w:id="95" w:name="_Toc5595"/>
      <w:r>
        <w:rPr>
          <w:rFonts w:hint="eastAsia" w:ascii="仿宋" w:hAnsi="仿宋" w:eastAsia="仿宋" w:cs="仿宋"/>
          <w:b/>
          <w:sz w:val="32"/>
          <w:szCs w:val="32"/>
          <w:lang w:val="en-US" w:eastAsia="zh-CN"/>
        </w:rPr>
        <w:t>3. 专业核心能力对比分析</w:t>
      </w:r>
      <w:bookmarkEnd w:id="95"/>
    </w:p>
    <w:p w14:paraId="7C001F09">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职业本科：</w:t>
      </w:r>
      <w:r>
        <w:rPr>
          <w:rFonts w:hint="eastAsia" w:ascii="仿宋" w:hAnsi="仿宋" w:eastAsia="仿宋" w:cs="仿宋"/>
          <w:b w:val="0"/>
          <w:bCs/>
          <w:szCs w:val="32"/>
          <w:lang w:val="en-US" w:eastAsia="zh-CN"/>
        </w:rPr>
        <w:t>强调会计核算、税务筹划、财务管理、数据分析及创新创业能力，要求学生具备复杂问题的解决能力和技术实践应用能力。</w:t>
      </w:r>
    </w:p>
    <w:p w14:paraId="5527CDFA">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高职：</w:t>
      </w:r>
      <w:r>
        <w:rPr>
          <w:rFonts w:hint="eastAsia" w:ascii="仿宋" w:hAnsi="仿宋" w:eastAsia="仿宋" w:cs="仿宋"/>
          <w:b w:val="0"/>
          <w:bCs/>
          <w:szCs w:val="32"/>
          <w:lang w:val="en-US" w:eastAsia="zh-CN"/>
        </w:rPr>
        <w:t>核心能力涵盖会计、税务、审计等多个方面，同时强调大数据技术应用、财务分析能力及可持续发展能力，以适应现代财经行业的快速变化。</w:t>
      </w:r>
    </w:p>
    <w:p w14:paraId="4A7DAF25">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中职：</w:t>
      </w:r>
      <w:r>
        <w:rPr>
          <w:rFonts w:hint="eastAsia" w:ascii="仿宋" w:hAnsi="仿宋" w:eastAsia="仿宋" w:cs="仿宋"/>
          <w:b w:val="0"/>
          <w:bCs/>
          <w:szCs w:val="32"/>
          <w:lang w:val="en-US" w:eastAsia="zh-CN"/>
        </w:rPr>
        <w:t>核心能力包括会计基本核算能力、常用办公软件使用能力、营销及语言表达能力等，注重学生的基础职业能力和综合素质。</w:t>
      </w:r>
    </w:p>
    <w:p w14:paraId="3D7A4971">
      <w:pPr>
        <w:pStyle w:val="4"/>
        <w:ind w:firstLine="643"/>
        <w:outlineLvl w:val="2"/>
        <w:rPr>
          <w:rFonts w:hint="eastAsia" w:ascii="仿宋" w:hAnsi="仿宋" w:eastAsia="仿宋" w:cs="仿宋"/>
          <w:b/>
          <w:sz w:val="32"/>
          <w:szCs w:val="32"/>
          <w:lang w:val="en-US" w:eastAsia="zh-CN"/>
        </w:rPr>
      </w:pPr>
      <w:bookmarkStart w:id="96" w:name="_Toc24426"/>
      <w:r>
        <w:rPr>
          <w:rFonts w:hint="eastAsia" w:ascii="仿宋" w:hAnsi="仿宋" w:eastAsia="仿宋" w:cs="仿宋"/>
          <w:b/>
          <w:sz w:val="32"/>
          <w:szCs w:val="32"/>
          <w:lang w:val="en-US" w:eastAsia="zh-CN"/>
        </w:rPr>
        <w:t>4. 毕业要求对比分析</w:t>
      </w:r>
      <w:bookmarkEnd w:id="96"/>
    </w:p>
    <w:p w14:paraId="19E6809F">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职业本科：</w:t>
      </w:r>
      <w:r>
        <w:rPr>
          <w:rFonts w:hint="eastAsia" w:ascii="仿宋" w:hAnsi="仿宋" w:eastAsia="仿宋" w:cs="仿宋"/>
          <w:b w:val="0"/>
          <w:bCs/>
          <w:szCs w:val="32"/>
          <w:lang w:val="en-US" w:eastAsia="zh-CN"/>
        </w:rPr>
        <w:t>通常要求学生修满较高的学分（如186学分），并通过学位论文或毕业设计，获得管理学学士学位。同时，鼓励学生考取相关职业资格证书。</w:t>
      </w:r>
    </w:p>
    <w:p w14:paraId="77B66743">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高职：</w:t>
      </w:r>
      <w:r>
        <w:rPr>
          <w:rFonts w:hint="eastAsia" w:ascii="仿宋" w:hAnsi="仿宋" w:eastAsia="仿宋" w:cs="仿宋"/>
          <w:b w:val="0"/>
          <w:bCs/>
          <w:szCs w:val="32"/>
          <w:lang w:val="en-US" w:eastAsia="zh-CN"/>
        </w:rPr>
        <w:t>毕业要求包括修满规定学分（如140-180学分不等），完成毕业设计或论文，并鼓励或要求学生取得相关职业资格证书或专业技能证书。</w:t>
      </w:r>
    </w:p>
    <w:p w14:paraId="0FDB924C">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中职：</w:t>
      </w:r>
      <w:r>
        <w:rPr>
          <w:rFonts w:hint="eastAsia" w:ascii="仿宋" w:hAnsi="仿宋" w:eastAsia="仿宋" w:cs="仿宋"/>
          <w:b w:val="0"/>
          <w:bCs/>
          <w:szCs w:val="32"/>
          <w:lang w:val="en-US" w:eastAsia="zh-CN"/>
        </w:rPr>
        <w:t>毕业要求相对较低，主要修满规定学时学分，完成规定教学活动，并通过国家职业技能鉴定考试或学业水平测试。</w:t>
      </w:r>
    </w:p>
    <w:p w14:paraId="5A6716D4">
      <w:pPr>
        <w:pStyle w:val="4"/>
        <w:ind w:firstLine="643"/>
        <w:outlineLvl w:val="2"/>
        <w:rPr>
          <w:rFonts w:hint="eastAsia" w:ascii="仿宋" w:hAnsi="仿宋" w:eastAsia="仿宋" w:cs="仿宋"/>
          <w:b/>
          <w:sz w:val="32"/>
          <w:szCs w:val="32"/>
          <w:lang w:val="en-US" w:eastAsia="zh-CN"/>
        </w:rPr>
      </w:pPr>
      <w:bookmarkStart w:id="97" w:name="_Toc8118"/>
      <w:r>
        <w:rPr>
          <w:rFonts w:hint="eastAsia" w:ascii="仿宋" w:hAnsi="仿宋" w:eastAsia="仿宋" w:cs="仿宋"/>
          <w:b/>
          <w:sz w:val="32"/>
          <w:szCs w:val="32"/>
          <w:lang w:val="en-US" w:eastAsia="zh-CN"/>
        </w:rPr>
        <w:t>5. 师资队伍对比分析</w:t>
      </w:r>
      <w:bookmarkEnd w:id="97"/>
    </w:p>
    <w:p w14:paraId="1B0F633E">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职业本科：</w:t>
      </w:r>
      <w:r>
        <w:rPr>
          <w:rFonts w:hint="eastAsia" w:ascii="仿宋" w:hAnsi="仿宋" w:eastAsia="仿宋" w:cs="仿宋"/>
          <w:b w:val="0"/>
          <w:bCs/>
          <w:szCs w:val="32"/>
          <w:lang w:val="en-US" w:eastAsia="zh-CN"/>
        </w:rPr>
        <w:t>师资队伍结构更加优化，专任教师中高级职称和博士、硕士研究生比例较高，双师型教师占比较大，同时聘请企业兼职教师参与教学。</w:t>
      </w:r>
    </w:p>
    <w:p w14:paraId="4E865454">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高职：</w:t>
      </w:r>
      <w:r>
        <w:rPr>
          <w:rFonts w:hint="eastAsia" w:ascii="仿宋" w:hAnsi="仿宋" w:eastAsia="仿宋" w:cs="仿宋"/>
          <w:b w:val="0"/>
          <w:bCs/>
          <w:szCs w:val="32"/>
          <w:lang w:val="en-US" w:eastAsia="zh-CN"/>
        </w:rPr>
        <w:t>师资队伍同样强调双师素质，专任教师中硕士以上学历及高级职称比例较高，同时积极引入行业企业专家作为兼职教师，以提升教学质量和实践教学能力。</w:t>
      </w:r>
    </w:p>
    <w:p w14:paraId="7EAA4B3E">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中职：</w:t>
      </w:r>
      <w:r>
        <w:rPr>
          <w:rFonts w:hint="eastAsia" w:ascii="仿宋" w:hAnsi="仿宋" w:eastAsia="仿宋" w:cs="仿宋"/>
          <w:b w:val="0"/>
          <w:bCs/>
          <w:szCs w:val="32"/>
          <w:lang w:val="en-US" w:eastAsia="zh-CN"/>
        </w:rPr>
        <w:t>专任教师与兼职教师结构较为合理，双师型教师占比较高，但整体学历层次低于职业本科和高职。</w:t>
      </w:r>
    </w:p>
    <w:p w14:paraId="2E171699">
      <w:pPr>
        <w:pStyle w:val="4"/>
        <w:ind w:firstLine="643"/>
        <w:outlineLvl w:val="2"/>
        <w:rPr>
          <w:rFonts w:hint="eastAsia" w:ascii="仿宋" w:hAnsi="仿宋" w:eastAsia="仿宋" w:cs="仿宋"/>
          <w:b/>
          <w:sz w:val="32"/>
          <w:szCs w:val="32"/>
          <w:lang w:val="en-US" w:eastAsia="zh-CN"/>
        </w:rPr>
      </w:pPr>
      <w:bookmarkStart w:id="98" w:name="_Toc27289"/>
      <w:r>
        <w:rPr>
          <w:rFonts w:hint="eastAsia" w:ascii="仿宋" w:hAnsi="仿宋" w:eastAsia="仿宋" w:cs="仿宋"/>
          <w:b/>
          <w:sz w:val="32"/>
          <w:szCs w:val="32"/>
          <w:lang w:val="en-US" w:eastAsia="zh-CN"/>
        </w:rPr>
        <w:t>6. 教学设施对比分析</w:t>
      </w:r>
      <w:bookmarkEnd w:id="98"/>
    </w:p>
    <w:p w14:paraId="681A7CB3">
      <w:pPr>
        <w:numPr>
          <w:ilvl w:val="0"/>
          <w:numId w:val="0"/>
        </w:numPr>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职业本科：</w:t>
      </w:r>
      <w:r>
        <w:rPr>
          <w:rFonts w:hint="eastAsia" w:ascii="仿宋" w:hAnsi="仿宋" w:eastAsia="仿宋" w:cs="仿宋"/>
          <w:b w:val="0"/>
          <w:bCs/>
          <w:szCs w:val="32"/>
          <w:lang w:val="en-US" w:eastAsia="zh-CN"/>
        </w:rPr>
        <w:t>教学设施先进且齐全，包括多媒体实验室、实习实训基地、财务共享中心等多个实验室和实训基地，配备多种教学软件以满足学生实验需求。</w:t>
      </w:r>
    </w:p>
    <w:p w14:paraId="6598BD75">
      <w:pPr>
        <w:numPr>
          <w:ilvl w:val="0"/>
          <w:numId w:val="0"/>
        </w:numPr>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高职：</w:t>
      </w:r>
      <w:r>
        <w:rPr>
          <w:rFonts w:hint="eastAsia" w:ascii="仿宋" w:hAnsi="仿宋" w:eastAsia="仿宋" w:cs="仿宋"/>
          <w:b w:val="0"/>
          <w:bCs/>
          <w:szCs w:val="32"/>
          <w:lang w:val="en-US" w:eastAsia="zh-CN"/>
        </w:rPr>
        <w:t>教学设施较为完善，校内实训基地涵盖多个领域，如会计工厂、VBSE跨专业综合实训室等，同时与多家企业合作建立校外实训基地，满足学生不同阶段的实习实训需求。</w:t>
      </w:r>
    </w:p>
    <w:p w14:paraId="3055C671">
      <w:pPr>
        <w:numPr>
          <w:ilvl w:val="0"/>
          <w:numId w:val="0"/>
        </w:numPr>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中职：</w:t>
      </w:r>
      <w:r>
        <w:rPr>
          <w:rFonts w:hint="eastAsia" w:ascii="仿宋" w:hAnsi="仿宋" w:eastAsia="仿宋" w:cs="仿宋"/>
          <w:b w:val="0"/>
          <w:bCs/>
          <w:szCs w:val="32"/>
          <w:lang w:val="en-US" w:eastAsia="zh-CN"/>
        </w:rPr>
        <w:t>教学设施主要满足基础实训需求，如会计手工记账模拟实训室、会计电算化综合实训室等，同时积极与企业合作建立校外实训基地。</w:t>
      </w:r>
    </w:p>
    <w:p w14:paraId="3680CB9C">
      <w:pPr>
        <w:pStyle w:val="4"/>
        <w:ind w:firstLine="643"/>
        <w:outlineLvl w:val="2"/>
        <w:rPr>
          <w:rFonts w:hint="eastAsia" w:ascii="仿宋" w:hAnsi="仿宋" w:eastAsia="仿宋" w:cs="仿宋"/>
          <w:b/>
          <w:sz w:val="32"/>
          <w:szCs w:val="32"/>
          <w:lang w:val="en-US" w:eastAsia="zh-CN"/>
        </w:rPr>
      </w:pPr>
      <w:bookmarkStart w:id="99" w:name="_Toc32400"/>
      <w:r>
        <w:rPr>
          <w:rFonts w:hint="eastAsia" w:ascii="仿宋" w:hAnsi="仿宋" w:eastAsia="仿宋" w:cs="仿宋"/>
          <w:b/>
          <w:sz w:val="32"/>
          <w:szCs w:val="32"/>
          <w:lang w:val="en-US" w:eastAsia="zh-CN"/>
        </w:rPr>
        <w:t>7. 课程设置对比分析</w:t>
      </w:r>
      <w:bookmarkEnd w:id="99"/>
    </w:p>
    <w:p w14:paraId="345DDC92">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职业本科：</w:t>
      </w:r>
      <w:r>
        <w:rPr>
          <w:rFonts w:hint="eastAsia" w:ascii="仿宋" w:hAnsi="仿宋" w:eastAsia="仿宋" w:cs="仿宋"/>
          <w:b w:val="0"/>
          <w:bCs/>
          <w:szCs w:val="32"/>
          <w:lang w:val="en-US" w:eastAsia="zh-CN"/>
        </w:rPr>
        <w:t>课程设置更加全面和系统，包括公共基础课程、专业基础课程、专业技能课程、专业实践课程及职业拓展课程（新技术课），强调理论与实践相结合。</w:t>
      </w:r>
    </w:p>
    <w:p w14:paraId="19AC0DFC">
      <w:pPr>
        <w:numPr>
          <w:ilvl w:val="0"/>
          <w:numId w:val="15"/>
        </w:numPr>
        <w:ind w:left="420" w:leftChars="0" w:hanging="420" w:firstLineChars="0"/>
        <w:outlineLvl w:val="9"/>
        <w:rPr>
          <w:rFonts w:hint="eastAsia" w:ascii="仿宋" w:hAnsi="仿宋" w:eastAsia="仿宋" w:cs="仿宋"/>
          <w:b/>
          <w:szCs w:val="32"/>
          <w:lang w:val="en-US" w:eastAsia="zh-CN"/>
        </w:rPr>
      </w:pPr>
      <w:r>
        <w:rPr>
          <w:rFonts w:hint="eastAsia" w:ascii="仿宋" w:hAnsi="仿宋" w:eastAsia="仿宋" w:cs="仿宋"/>
          <w:b/>
          <w:bCs w:val="0"/>
          <w:szCs w:val="32"/>
          <w:lang w:val="en-US" w:eastAsia="zh-CN"/>
        </w:rPr>
        <w:t>高职：</w:t>
      </w:r>
      <w:r>
        <w:rPr>
          <w:rFonts w:hint="eastAsia" w:ascii="仿宋" w:hAnsi="仿宋" w:eastAsia="仿宋" w:cs="仿宋"/>
          <w:b w:val="0"/>
          <w:bCs/>
          <w:szCs w:val="32"/>
          <w:lang w:val="en-US" w:eastAsia="zh-CN"/>
        </w:rPr>
        <w:t>课程设置兼顾基础与提高，除了核心专业课程外，还引入大数据、区块链等新技术课程，以适应现代财经行业的发展需求。同时，注重实践教学环节的设置和实施。</w:t>
      </w:r>
    </w:p>
    <w:p w14:paraId="0747EDEC">
      <w:pPr>
        <w:numPr>
          <w:ilvl w:val="0"/>
          <w:numId w:val="15"/>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中职：</w:t>
      </w:r>
      <w:r>
        <w:rPr>
          <w:rFonts w:hint="eastAsia" w:ascii="仿宋" w:hAnsi="仿宋" w:eastAsia="仿宋" w:cs="仿宋"/>
          <w:b w:val="0"/>
          <w:bCs/>
          <w:szCs w:val="32"/>
          <w:lang w:val="en-US" w:eastAsia="zh-CN"/>
        </w:rPr>
        <w:t>课程设置注重基础性和实用性，包括基础会计、会计电算化等核心课程，同时设置一定数量的实训课程以提升学生实践能力。</w:t>
      </w:r>
    </w:p>
    <w:p w14:paraId="77E877C0">
      <w:pPr>
        <w:ind w:firstLine="643" w:firstLineChars="200"/>
        <w:outlineLvl w:val="0"/>
        <w:rPr>
          <w:rFonts w:hint="eastAsia" w:ascii="仿宋" w:hAnsi="仿宋" w:eastAsia="仿宋" w:cs="仿宋"/>
          <w:b/>
          <w:szCs w:val="32"/>
        </w:rPr>
      </w:pPr>
      <w:bookmarkStart w:id="100" w:name="_Toc1492"/>
      <w:r>
        <w:rPr>
          <w:rFonts w:hint="eastAsia" w:ascii="仿宋" w:hAnsi="仿宋" w:eastAsia="仿宋" w:cs="仿宋"/>
          <w:b/>
          <w:szCs w:val="32"/>
          <w:lang w:val="en-US" w:eastAsia="zh-CN"/>
        </w:rPr>
        <w:t>六、</w:t>
      </w:r>
      <w:r>
        <w:rPr>
          <w:rFonts w:hint="eastAsia" w:ascii="仿宋" w:hAnsi="仿宋" w:eastAsia="仿宋" w:cs="仿宋"/>
          <w:b/>
          <w:szCs w:val="32"/>
        </w:rPr>
        <w:t>调研结论及对策</w:t>
      </w:r>
      <w:bookmarkEnd w:id="100"/>
    </w:p>
    <w:p w14:paraId="4D45D868">
      <w:pPr>
        <w:spacing w:line="288" w:lineRule="auto"/>
        <w:ind w:firstLine="640" w:firstLineChars="200"/>
        <w:rPr>
          <w:rFonts w:hint="eastAsia" w:ascii="仿宋" w:hAnsi="仿宋" w:eastAsia="仿宋" w:cs="仿宋"/>
          <w:szCs w:val="32"/>
          <w:lang w:val="en-US" w:eastAsia="zh-CN"/>
        </w:rPr>
      </w:pPr>
      <w:r>
        <w:rPr>
          <w:rFonts w:hint="eastAsia" w:ascii="仿宋" w:hAnsi="仿宋" w:eastAsia="仿宋" w:cs="仿宋"/>
          <w:szCs w:val="32"/>
          <w:lang w:val="en-US" w:eastAsia="zh-CN"/>
        </w:rPr>
        <w:t>目前，我国绝大多数高校都设有会计专业，从普通综合性大学到高职院校，会计专业几乎覆盖了整个教育体系，会计专业的课程体系相对完善，涵盖了会计理论、财务会计、管理会计、审计、税法等多个方面。同时，随着市场需求的变化，许多高校还开设了与信息技术、国际会计、财务管理等相关的课程，越来越多的高校开始重视实践教学环节，通过校企合作、实习实训等方式，为学生提供更多的实践机会。同时，随着全球化的深入发展，我国会计教育也逐渐向国际化方向迈进。许多高校开始引入国际会计准则、双语教学等国际化元素，培养学生的国际视野和跨文化交流能力。一些高校还与国外知名高校建立合作关系，开展联合培养项目，提升学生的国际化水平。</w:t>
      </w:r>
    </w:p>
    <w:p w14:paraId="728C84F4">
      <w:pPr>
        <w:spacing w:line="288" w:lineRule="auto"/>
        <w:ind w:firstLine="640" w:firstLineChars="200"/>
        <w:rPr>
          <w:rFonts w:hint="eastAsia" w:ascii="仿宋" w:hAnsi="仿宋" w:eastAsia="仿宋" w:cs="仿宋"/>
          <w:szCs w:val="32"/>
          <w:lang w:val="en-US" w:eastAsia="zh-CN"/>
        </w:rPr>
      </w:pPr>
      <w:r>
        <w:rPr>
          <w:rFonts w:hint="eastAsia" w:ascii="仿宋" w:hAnsi="仿宋" w:eastAsia="仿宋" w:cs="仿宋"/>
          <w:szCs w:val="32"/>
          <w:lang w:val="en-US" w:eastAsia="zh-CN"/>
        </w:rPr>
        <w:t>当然，也存在这一些问题，比如高校在人才培养方面往往存在一定的滞后性，难以完全跟上市场需求的步伐、实践能力培养不足、综合素质培养欠缺、国际化程度有待提升问等问题。</w:t>
      </w:r>
    </w:p>
    <w:p w14:paraId="11255127">
      <w:pPr>
        <w:spacing w:line="288" w:lineRule="auto"/>
        <w:ind w:firstLine="640" w:firstLineChars="200"/>
        <w:rPr>
          <w:rFonts w:hint="eastAsia" w:ascii="仿宋" w:hAnsi="仿宋" w:eastAsia="仿宋" w:cs="仿宋"/>
          <w:szCs w:val="32"/>
          <w:lang w:val="en-US" w:eastAsia="zh-CN"/>
        </w:rPr>
      </w:pPr>
      <w:r>
        <w:rPr>
          <w:rFonts w:hint="eastAsia" w:ascii="仿宋" w:hAnsi="仿宋" w:eastAsia="仿宋" w:cs="仿宋"/>
          <w:szCs w:val="32"/>
          <w:lang w:val="en-US" w:eastAsia="zh-CN"/>
        </w:rPr>
        <w:t>从人才培养方案的角度，从普通本科、职教本科、高职、中职主要呈现出以下的特点：</w:t>
      </w:r>
    </w:p>
    <w:tbl>
      <w:tblPr>
        <w:tblStyle w:val="10"/>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4"/>
        <w:gridCol w:w="1704"/>
        <w:gridCol w:w="1960"/>
        <w:gridCol w:w="1957"/>
        <w:gridCol w:w="1829"/>
      </w:tblGrid>
      <w:tr w14:paraId="370DC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74"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0E35D0DF">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教育层次</w:t>
            </w:r>
          </w:p>
        </w:tc>
        <w:tc>
          <w:tcPr>
            <w:tcW w:w="1704"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69F7B095">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普通本科</w:t>
            </w:r>
          </w:p>
        </w:tc>
        <w:tc>
          <w:tcPr>
            <w:tcW w:w="1960"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2A25FEB5">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职教本科</w:t>
            </w:r>
          </w:p>
        </w:tc>
        <w:tc>
          <w:tcPr>
            <w:tcW w:w="0" w:type="auto"/>
            <w:tcBorders>
              <w:top w:val="single" w:color="E0E0E0" w:sz="4" w:space="0"/>
              <w:left w:val="single" w:color="E0E0E0" w:sz="4" w:space="0"/>
              <w:bottom w:val="single" w:color="E0E0E0" w:sz="4" w:space="0"/>
              <w:right w:val="single" w:color="E0E0E0" w:sz="4" w:space="0"/>
            </w:tcBorders>
            <w:shd w:val="clear" w:color="auto" w:fill="F7F8FA"/>
            <w:vAlign w:val="center"/>
          </w:tcPr>
          <w:p w14:paraId="73A127EF">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高职</w:t>
            </w:r>
          </w:p>
        </w:tc>
        <w:tc>
          <w:tcPr>
            <w:tcW w:w="0" w:type="auto"/>
            <w:tcBorders>
              <w:top w:val="single" w:color="E0E0E0" w:sz="4" w:space="0"/>
              <w:left w:val="single" w:color="E0E0E0" w:sz="4" w:space="0"/>
              <w:bottom w:val="single" w:color="E0E0E0" w:sz="4" w:space="0"/>
              <w:right w:val="single" w:color="E0E0E0" w:sz="4" w:space="0"/>
            </w:tcBorders>
            <w:shd w:val="clear" w:color="auto" w:fill="F7F8FA"/>
            <w:vAlign w:val="center"/>
          </w:tcPr>
          <w:p w14:paraId="0C6A082E">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中职</w:t>
            </w:r>
          </w:p>
        </w:tc>
      </w:tr>
      <w:tr w14:paraId="526F4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974" w:type="dxa"/>
            <w:tcBorders>
              <w:top w:val="single" w:color="E0E0E0" w:sz="4" w:space="0"/>
              <w:left w:val="single" w:color="E0E0E0" w:sz="4" w:space="0"/>
              <w:bottom w:val="single" w:color="E0E0E0" w:sz="4" w:space="0"/>
              <w:right w:val="single" w:color="E0E0E0" w:sz="4" w:space="0"/>
            </w:tcBorders>
            <w:shd w:val="clear" w:color="auto" w:fill="FFFFFF"/>
            <w:vAlign w:val="center"/>
          </w:tcPr>
          <w:p w14:paraId="39D4E9CA">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培养目标</w:t>
            </w:r>
          </w:p>
        </w:tc>
        <w:tc>
          <w:tcPr>
            <w:tcW w:w="1704" w:type="dxa"/>
            <w:tcBorders>
              <w:top w:val="single" w:color="E0E0E0" w:sz="4" w:space="0"/>
              <w:left w:val="single" w:color="E0E0E0" w:sz="4" w:space="0"/>
              <w:bottom w:val="single" w:color="E0E0E0" w:sz="4" w:space="0"/>
              <w:right w:val="single" w:color="E0E0E0" w:sz="4" w:space="0"/>
            </w:tcBorders>
            <w:shd w:val="clear" w:color="auto" w:fill="FFFFFF"/>
            <w:vAlign w:val="center"/>
          </w:tcPr>
          <w:p w14:paraId="6BC69858">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培养具有扎实会计理论基础、良好综合素质和创新能力的高级会计人才</w:t>
            </w:r>
          </w:p>
        </w:tc>
        <w:tc>
          <w:tcPr>
            <w:tcW w:w="1960" w:type="dxa"/>
            <w:tcBorders>
              <w:top w:val="single" w:color="E0E0E0" w:sz="4" w:space="0"/>
              <w:left w:val="single" w:color="E0E0E0" w:sz="4" w:space="0"/>
              <w:bottom w:val="single" w:color="E0E0E0" w:sz="4" w:space="0"/>
              <w:right w:val="single" w:color="E0E0E0" w:sz="4" w:space="0"/>
            </w:tcBorders>
            <w:shd w:val="clear" w:color="auto" w:fill="FFFFFF"/>
            <w:vAlign w:val="center"/>
          </w:tcPr>
          <w:p w14:paraId="5FB24E45">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培养面向行业、注重实践应用能力的应用型会计人才</w:t>
            </w:r>
          </w:p>
        </w:tc>
        <w:tc>
          <w:tcPr>
            <w:tcW w:w="0" w:type="auto"/>
            <w:tcBorders>
              <w:top w:val="single" w:color="E0E0E0" w:sz="4" w:space="0"/>
              <w:left w:val="single" w:color="E0E0E0" w:sz="4" w:space="0"/>
              <w:bottom w:val="single" w:color="E0E0E0" w:sz="4" w:space="0"/>
              <w:right w:val="single" w:color="E0E0E0" w:sz="4" w:space="0"/>
            </w:tcBorders>
            <w:shd w:val="clear" w:color="auto" w:fill="FFFFFF"/>
            <w:vAlign w:val="center"/>
          </w:tcPr>
          <w:p w14:paraId="256F31AB">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培养掌握基本会计知识和技能、具备初步职业能力的技术技能型人才</w:t>
            </w:r>
          </w:p>
        </w:tc>
        <w:tc>
          <w:tcPr>
            <w:tcW w:w="0" w:type="auto"/>
            <w:tcBorders>
              <w:top w:val="single" w:color="E0E0E0" w:sz="4" w:space="0"/>
              <w:left w:val="single" w:color="E0E0E0" w:sz="4" w:space="0"/>
              <w:bottom w:val="single" w:color="E0E0E0" w:sz="4" w:space="0"/>
              <w:right w:val="single" w:color="E0E0E0" w:sz="4" w:space="0"/>
            </w:tcBorders>
            <w:shd w:val="clear" w:color="auto" w:fill="FFFFFF"/>
            <w:vAlign w:val="center"/>
          </w:tcPr>
          <w:p w14:paraId="70FE8572">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培养具备初级会计知识和技能、能够快速适应岗位需求的技能型人才</w:t>
            </w:r>
          </w:p>
        </w:tc>
      </w:tr>
      <w:tr w14:paraId="3D26D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74"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5D694BF9">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课程设置</w:t>
            </w:r>
          </w:p>
        </w:tc>
        <w:tc>
          <w:tcPr>
            <w:tcW w:w="1704"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2DDEB037">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广泛而深入，涵盖会计理论、财务管理、审计、税法等多个领域</w:t>
            </w:r>
          </w:p>
        </w:tc>
        <w:tc>
          <w:tcPr>
            <w:tcW w:w="1960"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09435BAD">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强调职业导向，课程设置贴近市场需求，注重实践性和针对性</w:t>
            </w:r>
          </w:p>
        </w:tc>
        <w:tc>
          <w:tcPr>
            <w:tcW w:w="0" w:type="auto"/>
            <w:tcBorders>
              <w:top w:val="single" w:color="E0E0E0" w:sz="4" w:space="0"/>
              <w:left w:val="single" w:color="E0E0E0" w:sz="4" w:space="0"/>
              <w:bottom w:val="single" w:color="E0E0E0" w:sz="4" w:space="0"/>
              <w:right w:val="single" w:color="E0E0E0" w:sz="4" w:space="0"/>
            </w:tcBorders>
            <w:shd w:val="clear" w:color="auto" w:fill="F7F8FA"/>
            <w:vAlign w:val="center"/>
          </w:tcPr>
          <w:p w14:paraId="3840064B">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以职业技能培训为主，涵盖基础会计、财务会计、成本会计等核心课程</w:t>
            </w:r>
          </w:p>
        </w:tc>
        <w:tc>
          <w:tcPr>
            <w:tcW w:w="0" w:type="auto"/>
            <w:tcBorders>
              <w:top w:val="single" w:color="E0E0E0" w:sz="4" w:space="0"/>
              <w:left w:val="single" w:color="E0E0E0" w:sz="4" w:space="0"/>
              <w:bottom w:val="single" w:color="E0E0E0" w:sz="4" w:space="0"/>
              <w:right w:val="single" w:color="E0E0E0" w:sz="4" w:space="0"/>
            </w:tcBorders>
            <w:shd w:val="clear" w:color="auto" w:fill="F7F8FA"/>
            <w:vAlign w:val="center"/>
          </w:tcPr>
          <w:p w14:paraId="1AC8070B">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课程设置相对简单，涵盖基础会计、财务会计、经济法等基础知识</w:t>
            </w:r>
          </w:p>
        </w:tc>
      </w:tr>
      <w:tr w14:paraId="6B5A6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74" w:type="dxa"/>
            <w:tcBorders>
              <w:top w:val="single" w:color="E0E0E0" w:sz="4" w:space="0"/>
              <w:left w:val="single" w:color="E0E0E0" w:sz="4" w:space="0"/>
              <w:bottom w:val="single" w:color="E0E0E0" w:sz="4" w:space="0"/>
              <w:right w:val="single" w:color="E0E0E0" w:sz="4" w:space="0"/>
            </w:tcBorders>
            <w:shd w:val="clear" w:color="auto" w:fill="FFFFFF"/>
            <w:vAlign w:val="center"/>
          </w:tcPr>
          <w:p w14:paraId="5740E8B7">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实践教学</w:t>
            </w:r>
          </w:p>
        </w:tc>
        <w:tc>
          <w:tcPr>
            <w:tcW w:w="1704" w:type="dxa"/>
            <w:tcBorders>
              <w:top w:val="single" w:color="E0E0E0" w:sz="4" w:space="0"/>
              <w:left w:val="single" w:color="E0E0E0" w:sz="4" w:space="0"/>
              <w:bottom w:val="single" w:color="E0E0E0" w:sz="4" w:space="0"/>
              <w:right w:val="single" w:color="E0E0E0" w:sz="4" w:space="0"/>
            </w:tcBorders>
            <w:shd w:val="clear" w:color="auto" w:fill="FFFFFF"/>
            <w:vAlign w:val="center"/>
          </w:tcPr>
          <w:p w14:paraId="6FEBD34E">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重视实践教学，但可能存在一定的滞后性，需加强校企合作</w:t>
            </w:r>
          </w:p>
        </w:tc>
        <w:tc>
          <w:tcPr>
            <w:tcW w:w="1960" w:type="dxa"/>
            <w:tcBorders>
              <w:top w:val="single" w:color="E0E0E0" w:sz="4" w:space="0"/>
              <w:left w:val="single" w:color="E0E0E0" w:sz="4" w:space="0"/>
              <w:bottom w:val="single" w:color="E0E0E0" w:sz="4" w:space="0"/>
              <w:right w:val="single" w:color="E0E0E0" w:sz="4" w:space="0"/>
            </w:tcBorders>
            <w:shd w:val="clear" w:color="auto" w:fill="FFFFFF"/>
            <w:vAlign w:val="center"/>
          </w:tcPr>
          <w:p w14:paraId="7EDE3296">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与企业紧密合作，开展工学结合的教学模式，实践机会丰富</w:t>
            </w:r>
          </w:p>
        </w:tc>
        <w:tc>
          <w:tcPr>
            <w:tcW w:w="0" w:type="auto"/>
            <w:tcBorders>
              <w:top w:val="single" w:color="E0E0E0" w:sz="4" w:space="0"/>
              <w:left w:val="single" w:color="E0E0E0" w:sz="4" w:space="0"/>
              <w:bottom w:val="single" w:color="E0E0E0" w:sz="4" w:space="0"/>
              <w:right w:val="single" w:color="E0E0E0" w:sz="4" w:space="0"/>
            </w:tcBorders>
            <w:shd w:val="clear" w:color="auto" w:fill="FFFFFF"/>
            <w:vAlign w:val="center"/>
          </w:tcPr>
          <w:p w14:paraId="2EE7D651">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实践教学环节强化，如会计模拟实训、财务软件应用等</w:t>
            </w:r>
          </w:p>
        </w:tc>
        <w:tc>
          <w:tcPr>
            <w:tcW w:w="0" w:type="auto"/>
            <w:tcBorders>
              <w:top w:val="single" w:color="E0E0E0" w:sz="4" w:space="0"/>
              <w:left w:val="single" w:color="E0E0E0" w:sz="4" w:space="0"/>
              <w:bottom w:val="single" w:color="E0E0E0" w:sz="4" w:space="0"/>
              <w:right w:val="single" w:color="E0E0E0" w:sz="4" w:space="0"/>
            </w:tcBorders>
            <w:shd w:val="clear" w:color="auto" w:fill="FFFFFF"/>
            <w:vAlign w:val="center"/>
          </w:tcPr>
          <w:p w14:paraId="365D3B94">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实践教学条件可能有限，但注重培养学生的基本操作技能</w:t>
            </w:r>
          </w:p>
        </w:tc>
      </w:tr>
      <w:tr w14:paraId="21AF2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74"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1B7FBA1D">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师资力量</w:t>
            </w:r>
          </w:p>
        </w:tc>
        <w:tc>
          <w:tcPr>
            <w:tcW w:w="1704"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56106BA8">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教师队伍整体素质较高，拥有丰富的教学和科研经验</w:t>
            </w:r>
          </w:p>
        </w:tc>
        <w:tc>
          <w:tcPr>
            <w:tcW w:w="1960"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29337931">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强调“双师型”教师，既具备理论教学能力又具备实践经验</w:t>
            </w:r>
          </w:p>
        </w:tc>
        <w:tc>
          <w:tcPr>
            <w:tcW w:w="0" w:type="auto"/>
            <w:tcBorders>
              <w:top w:val="single" w:color="E0E0E0" w:sz="4" w:space="0"/>
              <w:left w:val="single" w:color="E0E0E0" w:sz="4" w:space="0"/>
              <w:bottom w:val="single" w:color="E0E0E0" w:sz="4" w:space="0"/>
              <w:right w:val="single" w:color="E0E0E0" w:sz="4" w:space="0"/>
            </w:tcBorders>
            <w:shd w:val="clear" w:color="auto" w:fill="F7F8FA"/>
            <w:vAlign w:val="center"/>
          </w:tcPr>
          <w:p w14:paraId="4456ECF6">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教师队伍相对年轻，部分教师可能缺乏实践经验，但充满活力</w:t>
            </w:r>
          </w:p>
        </w:tc>
        <w:tc>
          <w:tcPr>
            <w:tcW w:w="0" w:type="auto"/>
            <w:tcBorders>
              <w:top w:val="single" w:color="E0E0E0" w:sz="4" w:space="0"/>
              <w:left w:val="single" w:color="E0E0E0" w:sz="4" w:space="0"/>
              <w:bottom w:val="single" w:color="E0E0E0" w:sz="4" w:space="0"/>
              <w:right w:val="single" w:color="E0E0E0" w:sz="4" w:space="0"/>
            </w:tcBorders>
            <w:shd w:val="clear" w:color="auto" w:fill="F7F8FA"/>
            <w:vAlign w:val="center"/>
          </w:tcPr>
          <w:p w14:paraId="7C58A41F">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教师队伍可能以年轻教师为主，教学经验和实践经验相对有限</w:t>
            </w:r>
          </w:p>
        </w:tc>
      </w:tr>
      <w:tr w14:paraId="4A5E1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74"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5D89CC8E">
            <w:pPr>
              <w:keepNext w:val="0"/>
              <w:keepLines w:val="0"/>
              <w:widowControl/>
              <w:suppressLineNumbers w:val="0"/>
              <w:jc w:val="center"/>
              <w:textAlignment w:val="center"/>
              <w:rPr>
                <w:rFonts w:hint="eastAsia" w:ascii="仿宋" w:hAnsi="仿宋" w:eastAsia="仿宋" w:cs="仿宋"/>
                <w:b/>
                <w:bCs/>
                <w:i w:val="0"/>
                <w:iCs w:val="0"/>
                <w:color w:val="222222"/>
                <w:sz w:val="21"/>
                <w:szCs w:val="21"/>
                <w:u w:val="none"/>
              </w:rPr>
            </w:pPr>
            <w:r>
              <w:rPr>
                <w:rFonts w:hint="eastAsia" w:ascii="仿宋" w:hAnsi="仿宋" w:eastAsia="仿宋" w:cs="仿宋"/>
                <w:b/>
                <w:bCs/>
                <w:i w:val="0"/>
                <w:iCs w:val="0"/>
                <w:color w:val="222222"/>
                <w:kern w:val="0"/>
                <w:sz w:val="21"/>
                <w:szCs w:val="21"/>
                <w:u w:val="none"/>
                <w:lang w:val="en-US" w:eastAsia="zh-CN" w:bidi="ar"/>
              </w:rPr>
              <w:t>就业方向</w:t>
            </w:r>
          </w:p>
        </w:tc>
        <w:tc>
          <w:tcPr>
            <w:tcW w:w="1704"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0C09D6EC">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面向大型企业、会计师事务所、金融机构等，从事高级会计工作或继续深造</w:t>
            </w:r>
          </w:p>
        </w:tc>
        <w:tc>
          <w:tcPr>
            <w:tcW w:w="1960" w:type="dxa"/>
            <w:tcBorders>
              <w:top w:val="single" w:color="E0E0E0" w:sz="4" w:space="0"/>
              <w:left w:val="single" w:color="E0E0E0" w:sz="4" w:space="0"/>
              <w:bottom w:val="single" w:color="E0E0E0" w:sz="4" w:space="0"/>
              <w:right w:val="single" w:color="E0E0E0" w:sz="4" w:space="0"/>
            </w:tcBorders>
            <w:shd w:val="clear" w:color="auto" w:fill="F7F8FA"/>
            <w:vAlign w:val="center"/>
          </w:tcPr>
          <w:p w14:paraId="0E3B09B7">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面向中小企业、会计师事务所、代理记账公司等，从事会计、审计、财务管理等工作</w:t>
            </w:r>
          </w:p>
        </w:tc>
        <w:tc>
          <w:tcPr>
            <w:tcW w:w="0" w:type="auto"/>
            <w:tcBorders>
              <w:top w:val="single" w:color="E0E0E0" w:sz="4" w:space="0"/>
              <w:left w:val="single" w:color="E0E0E0" w:sz="4" w:space="0"/>
              <w:bottom w:val="single" w:color="E0E0E0" w:sz="4" w:space="0"/>
              <w:right w:val="single" w:color="E0E0E0" w:sz="4" w:space="0"/>
            </w:tcBorders>
            <w:shd w:val="clear" w:color="auto" w:fill="F7F8FA"/>
            <w:vAlign w:val="center"/>
          </w:tcPr>
          <w:p w14:paraId="3F2E0558">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面向中小企业、服务业、制造业等，从事基础会计、出纳、财务管理等工作</w:t>
            </w:r>
          </w:p>
        </w:tc>
        <w:tc>
          <w:tcPr>
            <w:tcW w:w="0" w:type="auto"/>
            <w:tcBorders>
              <w:top w:val="single" w:color="E0E0E0" w:sz="4" w:space="0"/>
              <w:left w:val="single" w:color="E0E0E0" w:sz="4" w:space="0"/>
              <w:bottom w:val="single" w:color="E0E0E0" w:sz="4" w:space="0"/>
              <w:right w:val="single" w:color="E0E0E0" w:sz="4" w:space="0"/>
            </w:tcBorders>
            <w:shd w:val="clear" w:color="auto" w:fill="F7F8FA"/>
            <w:vAlign w:val="center"/>
          </w:tcPr>
          <w:p w14:paraId="0C9E98DC">
            <w:pPr>
              <w:keepNext w:val="0"/>
              <w:keepLines w:val="0"/>
              <w:widowControl/>
              <w:suppressLineNumbers w:val="0"/>
              <w:jc w:val="center"/>
              <w:textAlignment w:val="center"/>
              <w:rPr>
                <w:rFonts w:hint="eastAsia" w:ascii="仿宋" w:hAnsi="仿宋" w:eastAsia="仿宋" w:cs="仿宋"/>
                <w:i w:val="0"/>
                <w:iCs w:val="0"/>
                <w:color w:val="222222"/>
                <w:sz w:val="21"/>
                <w:szCs w:val="21"/>
                <w:u w:val="none"/>
              </w:rPr>
            </w:pPr>
            <w:r>
              <w:rPr>
                <w:rFonts w:hint="eastAsia" w:ascii="仿宋" w:hAnsi="仿宋" w:eastAsia="仿宋" w:cs="仿宋"/>
                <w:i w:val="0"/>
                <w:iCs w:val="0"/>
                <w:color w:val="222222"/>
                <w:kern w:val="0"/>
                <w:sz w:val="21"/>
                <w:szCs w:val="21"/>
                <w:u w:val="none"/>
                <w:lang w:val="en-US" w:eastAsia="zh-CN" w:bidi="ar"/>
              </w:rPr>
              <w:t>快速适应初级会计岗位，如收银员、出纳员、会计助理等</w:t>
            </w:r>
          </w:p>
        </w:tc>
      </w:tr>
    </w:tbl>
    <w:p w14:paraId="6AC2509C">
      <w:pPr>
        <w:pStyle w:val="9"/>
        <w:keepNext w:val="0"/>
        <w:keepLines w:val="0"/>
        <w:widowControl/>
        <w:suppressLineNumbers w:val="0"/>
        <w:shd w:val="clear" w:fill="FFFFFF"/>
        <w:wordWrap w:val="0"/>
        <w:spacing w:before="0" w:beforeAutospacing="0" w:after="80" w:afterAutospacing="0"/>
        <w:ind w:left="0" w:firstLine="4919" w:firstLineChars="3500"/>
        <w:rPr>
          <w:rStyle w:val="13"/>
          <w:rFonts w:hint="eastAsia" w:ascii="仿宋" w:hAnsi="仿宋" w:eastAsia="仿宋" w:cs="仿宋"/>
          <w:b/>
          <w:bCs/>
          <w:i w:val="0"/>
          <w:iCs w:val="0"/>
          <w:caps w:val="0"/>
          <w:color w:val="222222"/>
          <w:spacing w:val="0"/>
          <w:sz w:val="14"/>
          <w:szCs w:val="14"/>
          <w:shd w:val="clear" w:fill="FFFFFF"/>
        </w:rPr>
      </w:pPr>
    </w:p>
    <w:p w14:paraId="0E4AF876">
      <w:pPr>
        <w:pStyle w:val="9"/>
        <w:keepNext w:val="0"/>
        <w:keepLines w:val="0"/>
        <w:widowControl/>
        <w:suppressLineNumbers w:val="0"/>
        <w:shd w:val="clear" w:fill="FFFFFF"/>
        <w:wordWrap w:val="0"/>
        <w:spacing w:before="0" w:beforeAutospacing="0" w:after="80" w:afterAutospacing="0"/>
        <w:ind w:firstLine="640" w:firstLineChars="200"/>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下面是我们本次调研结论和建议：</w:t>
      </w:r>
    </w:p>
    <w:p w14:paraId="0FA34BE0">
      <w:pPr>
        <w:numPr>
          <w:ilvl w:val="0"/>
          <w:numId w:val="16"/>
        </w:numPr>
        <w:ind w:firstLine="643" w:firstLineChars="200"/>
        <w:outlineLvl w:val="1"/>
        <w:rPr>
          <w:rFonts w:hint="eastAsia" w:ascii="仿宋" w:hAnsi="仿宋" w:eastAsia="仿宋" w:cs="仿宋"/>
          <w:b/>
          <w:szCs w:val="32"/>
          <w:lang w:val="en-US" w:eastAsia="zh-CN"/>
        </w:rPr>
      </w:pPr>
      <w:bookmarkStart w:id="101" w:name="_Toc24217_WPSOffice_Level2"/>
      <w:bookmarkStart w:id="102" w:name="_Toc11085036"/>
      <w:bookmarkStart w:id="103" w:name="_Toc5874"/>
      <w:bookmarkStart w:id="104" w:name="OLE_LINK4"/>
      <w:r>
        <w:rPr>
          <w:rFonts w:hint="eastAsia" w:ascii="仿宋" w:hAnsi="仿宋" w:eastAsia="仿宋" w:cs="仿宋"/>
          <w:b/>
          <w:szCs w:val="32"/>
          <w:lang w:val="en-US" w:eastAsia="zh-CN"/>
        </w:rPr>
        <w:t>专业培养目标</w:t>
      </w:r>
      <w:bookmarkEnd w:id="101"/>
      <w:bookmarkEnd w:id="102"/>
      <w:bookmarkEnd w:id="103"/>
    </w:p>
    <w:p w14:paraId="337985A4">
      <w:pPr>
        <w:ind w:firstLine="640" w:firstLineChars="200"/>
        <w:outlineLvl w:val="9"/>
        <w:rPr>
          <w:rFonts w:hint="eastAsia" w:ascii="仿宋" w:hAnsi="仿宋" w:eastAsia="仿宋" w:cs="仿宋"/>
          <w:b w:val="0"/>
          <w:bCs/>
          <w:szCs w:val="32"/>
          <w:lang w:val="en-US" w:eastAsia="zh-CN"/>
        </w:rPr>
      </w:pPr>
      <w:bookmarkStart w:id="105" w:name="_Toc11085037"/>
      <w:bookmarkStart w:id="106" w:name="_Toc22340_WPSOffice_Level2"/>
      <w:r>
        <w:rPr>
          <w:rFonts w:hint="eastAsia" w:ascii="仿宋" w:hAnsi="仿宋" w:eastAsia="仿宋" w:cs="仿宋"/>
          <w:b w:val="0"/>
          <w:bCs/>
          <w:szCs w:val="32"/>
          <w:lang w:val="en-US" w:eastAsia="zh-CN"/>
        </w:rPr>
        <w:t>结合调研结果，高职院校大数据与会计专业的培养目标应定位为：培养掌握扎实的会计理论知识与大数据处理技能，具备较强的实践应用能力和创新创业精神的高素质技术技能型人才。</w:t>
      </w:r>
    </w:p>
    <w:p w14:paraId="55E1BD2C">
      <w:p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具体而言，旨在培养学生能够胜任会计、审计、税务等领域的基础及管理工作，同时具备利用大数据技术进行财务分析、数据挖掘与决策支持的能力，以满足现代企业对复合型会计人才的需求。</w:t>
      </w:r>
    </w:p>
    <w:p w14:paraId="3556E0E3">
      <w:pPr>
        <w:numPr>
          <w:ilvl w:val="0"/>
          <w:numId w:val="16"/>
        </w:numPr>
        <w:ind w:left="0" w:leftChars="0" w:firstLine="643" w:firstLineChars="200"/>
        <w:outlineLvl w:val="1"/>
        <w:rPr>
          <w:rFonts w:hint="eastAsia" w:ascii="仿宋" w:hAnsi="仿宋" w:eastAsia="仿宋" w:cs="仿宋"/>
          <w:b/>
          <w:szCs w:val="32"/>
          <w:lang w:val="en-US" w:eastAsia="zh-CN"/>
        </w:rPr>
      </w:pPr>
      <w:bookmarkStart w:id="107" w:name="_Toc20999"/>
      <w:r>
        <w:rPr>
          <w:rFonts w:hint="eastAsia" w:ascii="仿宋" w:hAnsi="仿宋" w:eastAsia="仿宋" w:cs="仿宋"/>
          <w:b/>
          <w:szCs w:val="32"/>
          <w:lang w:val="en-US" w:eastAsia="zh-CN"/>
        </w:rPr>
        <w:t>专业岗位定位</w:t>
      </w:r>
      <w:bookmarkEnd w:id="105"/>
      <w:bookmarkEnd w:id="106"/>
      <w:bookmarkEnd w:id="107"/>
    </w:p>
    <w:p w14:paraId="3864F155">
      <w:p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根据企业调研结果和市场需求分析，大数据与会计专业的岗位定位应广泛覆盖会计、审计、税务等多个领域，重点面向中小企业和服务业，培养能够从事基础会计、成本会计、税务会计、财务分析、内部审计以及大数据财务分析师等岗位的高素质技能型人才。同时，注重培养学生的岗位迁移能力和持续发展潜力，为其未来的职业晋升和转型打下坚实基础。</w:t>
      </w:r>
    </w:p>
    <w:p w14:paraId="0132F88F">
      <w:pPr>
        <w:numPr>
          <w:ilvl w:val="0"/>
          <w:numId w:val="16"/>
        </w:numPr>
        <w:ind w:left="0" w:leftChars="0" w:firstLine="643" w:firstLineChars="200"/>
        <w:outlineLvl w:val="1"/>
        <w:rPr>
          <w:rFonts w:hint="eastAsia" w:ascii="仿宋" w:hAnsi="仿宋" w:eastAsia="仿宋" w:cs="仿宋"/>
          <w:b/>
          <w:szCs w:val="32"/>
          <w:lang w:val="en-US" w:eastAsia="zh-CN"/>
        </w:rPr>
      </w:pPr>
      <w:bookmarkStart w:id="108" w:name="_Toc11085038"/>
      <w:bookmarkStart w:id="109" w:name="_Toc31535"/>
      <w:bookmarkStart w:id="110" w:name="_Toc9906_WPSOffice_Level2"/>
      <w:bookmarkStart w:id="111" w:name="OLE_LINK5"/>
      <w:r>
        <w:rPr>
          <w:rFonts w:hint="eastAsia" w:ascii="仿宋" w:hAnsi="仿宋" w:eastAsia="仿宋" w:cs="仿宋"/>
          <w:b/>
          <w:szCs w:val="32"/>
          <w:lang w:val="en-US" w:eastAsia="zh-CN"/>
        </w:rPr>
        <w:t>专业核心能力</w:t>
      </w:r>
      <w:bookmarkEnd w:id="108"/>
      <w:bookmarkEnd w:id="109"/>
      <w:bookmarkEnd w:id="110"/>
    </w:p>
    <w:p w14:paraId="296B51A9">
      <w:pPr>
        <w:numPr>
          <w:ilvl w:val="0"/>
          <w:numId w:val="0"/>
        </w:numPr>
        <w:ind w:left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大数据与会计专业学生应具备的核心能力包括：</w:t>
      </w:r>
    </w:p>
    <w:p w14:paraId="04852097">
      <w:pPr>
        <w:numPr>
          <w:ilvl w:val="0"/>
          <w:numId w:val="0"/>
        </w:numPr>
        <w:ind w:leftChars="200"/>
        <w:outlineLvl w:val="9"/>
        <w:rPr>
          <w:rFonts w:hint="eastAsia" w:ascii="仿宋" w:hAnsi="仿宋" w:eastAsia="仿宋" w:cs="仿宋"/>
          <w:b w:val="0"/>
          <w:bCs/>
          <w:szCs w:val="32"/>
          <w:lang w:val="en-US" w:eastAsia="zh-CN"/>
        </w:rPr>
      </w:pPr>
    </w:p>
    <w:p w14:paraId="3718146C">
      <w:pPr>
        <w:numPr>
          <w:ilvl w:val="0"/>
          <w:numId w:val="1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会计业务处理能力：</w:t>
      </w:r>
      <w:r>
        <w:rPr>
          <w:rFonts w:hint="eastAsia" w:ascii="仿宋" w:hAnsi="仿宋" w:eastAsia="仿宋" w:cs="仿宋"/>
          <w:b w:val="0"/>
          <w:bCs/>
          <w:szCs w:val="32"/>
          <w:lang w:val="en-US" w:eastAsia="zh-CN"/>
        </w:rPr>
        <w:t>熟练掌握会计核算、税务筹划、财务管理等基本技能。</w:t>
      </w:r>
    </w:p>
    <w:p w14:paraId="493C2FF7">
      <w:pPr>
        <w:numPr>
          <w:ilvl w:val="0"/>
          <w:numId w:val="1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数据技术应用能力：</w:t>
      </w:r>
      <w:r>
        <w:rPr>
          <w:rFonts w:hint="eastAsia" w:ascii="仿宋" w:hAnsi="仿宋" w:eastAsia="仿宋" w:cs="仿宋"/>
          <w:b w:val="0"/>
          <w:bCs/>
          <w:szCs w:val="32"/>
          <w:lang w:val="en-US" w:eastAsia="zh-CN"/>
        </w:rPr>
        <w:t>具备大数据处理、数据挖掘与分析的能力，能够运用现代信息技术进行财务管理决策支持。</w:t>
      </w:r>
    </w:p>
    <w:p w14:paraId="04179D16">
      <w:pPr>
        <w:numPr>
          <w:ilvl w:val="0"/>
          <w:numId w:val="1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沟通协调能力：</w:t>
      </w:r>
      <w:r>
        <w:rPr>
          <w:rFonts w:hint="eastAsia" w:ascii="仿宋" w:hAnsi="仿宋" w:eastAsia="仿宋" w:cs="仿宋"/>
          <w:b w:val="0"/>
          <w:bCs/>
          <w:szCs w:val="32"/>
          <w:lang w:val="en-US" w:eastAsia="zh-CN"/>
        </w:rPr>
        <w:t>良好的语言表达和沟通协调能力，能够与企业内外部各方有效沟通，确保会计工作的顺利进行。</w:t>
      </w:r>
    </w:p>
    <w:p w14:paraId="5ECE9CC6">
      <w:pPr>
        <w:numPr>
          <w:ilvl w:val="0"/>
          <w:numId w:val="1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持续学习能力：</w:t>
      </w:r>
      <w:r>
        <w:rPr>
          <w:rFonts w:hint="eastAsia" w:ascii="仿宋" w:hAnsi="仿宋" w:eastAsia="仿宋" w:cs="仿宋"/>
          <w:b w:val="0"/>
          <w:bCs/>
          <w:szCs w:val="32"/>
          <w:lang w:val="en-US" w:eastAsia="zh-CN"/>
        </w:rPr>
        <w:t>具备自我学习和终身学习的能力，能够紧跟会计领域的新发展、新趋势，不断更新知识和技能。</w:t>
      </w:r>
    </w:p>
    <w:p w14:paraId="621DE450">
      <w:pPr>
        <w:numPr>
          <w:ilvl w:val="0"/>
          <w:numId w:val="17"/>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创新创业能力：</w:t>
      </w:r>
      <w:r>
        <w:rPr>
          <w:rFonts w:hint="eastAsia" w:ascii="仿宋" w:hAnsi="仿宋" w:eastAsia="仿宋" w:cs="仿宋"/>
          <w:b w:val="0"/>
          <w:bCs/>
          <w:szCs w:val="32"/>
          <w:lang w:val="en-US" w:eastAsia="zh-CN"/>
        </w:rPr>
        <w:t>鼓励学生发挥创新思维，提升其在财务咨询、税务筹划等领域的综合能力，为未来的职业发展拓展空间。</w:t>
      </w:r>
    </w:p>
    <w:bookmarkEnd w:id="111"/>
    <w:p w14:paraId="6A21E614">
      <w:pPr>
        <w:numPr>
          <w:ilvl w:val="0"/>
          <w:numId w:val="16"/>
        </w:numPr>
        <w:ind w:left="0" w:leftChars="0" w:firstLine="643" w:firstLineChars="200"/>
        <w:outlineLvl w:val="1"/>
        <w:rPr>
          <w:rFonts w:hint="eastAsia" w:ascii="仿宋" w:hAnsi="仿宋" w:eastAsia="仿宋" w:cs="仿宋"/>
          <w:b/>
          <w:szCs w:val="32"/>
          <w:lang w:val="en-US" w:eastAsia="zh-CN"/>
        </w:rPr>
      </w:pPr>
      <w:bookmarkStart w:id="112" w:name="_Toc11085039"/>
      <w:bookmarkStart w:id="113" w:name="_Toc23496_WPSOffice_Level2"/>
      <w:bookmarkStart w:id="114" w:name="_Toc16242"/>
      <w:r>
        <w:rPr>
          <w:rFonts w:hint="eastAsia" w:ascii="仿宋" w:hAnsi="仿宋" w:eastAsia="仿宋" w:cs="仿宋"/>
          <w:b/>
          <w:szCs w:val="32"/>
          <w:lang w:val="en-US" w:eastAsia="zh-CN"/>
        </w:rPr>
        <w:t>专业课程设置</w:t>
      </w:r>
      <w:bookmarkEnd w:id="112"/>
      <w:bookmarkEnd w:id="113"/>
      <w:bookmarkEnd w:id="114"/>
    </w:p>
    <w:p w14:paraId="6F86B6D1">
      <w:pPr>
        <w:numPr>
          <w:ilvl w:val="0"/>
          <w:numId w:val="0"/>
        </w:num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针对高职院校大数据与会计专业，结合毕业生调研结果、企业调研结果及在校生调研结果，专业课程设置应更加注重理论与实践的结合，强化新技术应用能力的培养，以满足行业对高素质技能型人才的需求。</w:t>
      </w:r>
    </w:p>
    <w:p w14:paraId="1B64DA02">
      <w:pPr>
        <w:numPr>
          <w:ilvl w:val="0"/>
          <w:numId w:val="0"/>
        </w:num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具体建议如下：</w:t>
      </w:r>
    </w:p>
    <w:p w14:paraId="53C5804E">
      <w:pPr>
        <w:numPr>
          <w:ilvl w:val="0"/>
          <w:numId w:val="0"/>
        </w:numPr>
        <w:ind w:firstLine="643" w:firstLineChars="200"/>
        <w:outlineLvl w:val="2"/>
        <w:rPr>
          <w:rFonts w:hint="eastAsia" w:ascii="仿宋" w:hAnsi="仿宋" w:eastAsia="仿宋" w:cs="仿宋"/>
          <w:b/>
          <w:bCs w:val="0"/>
          <w:szCs w:val="32"/>
          <w:lang w:val="en-US" w:eastAsia="zh-CN"/>
        </w:rPr>
      </w:pPr>
      <w:bookmarkStart w:id="115" w:name="_Toc16204"/>
      <w:bookmarkStart w:id="116" w:name="_Toc22490"/>
      <w:r>
        <w:rPr>
          <w:rFonts w:hint="eastAsia" w:ascii="仿宋" w:hAnsi="仿宋" w:eastAsia="仿宋" w:cs="仿宋"/>
          <w:b/>
          <w:bCs w:val="0"/>
          <w:szCs w:val="32"/>
          <w:lang w:val="en-US" w:eastAsia="zh-CN"/>
        </w:rPr>
        <w:t>1.强化基础课程</w:t>
      </w:r>
      <w:bookmarkEnd w:id="115"/>
      <w:bookmarkEnd w:id="116"/>
    </w:p>
    <w:p w14:paraId="05532745">
      <w:pPr>
        <w:numPr>
          <w:ilvl w:val="0"/>
          <w:numId w:val="1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会计基础与理论：继续加强财务会计、会计基础、税法等核心课程的教学，确保学生掌握扎实的会计理论知识。</w:t>
      </w:r>
    </w:p>
    <w:p w14:paraId="30A874B4">
      <w:pPr>
        <w:numPr>
          <w:ilvl w:val="0"/>
          <w:numId w:val="1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升本课程：强化数学、管理学、经济学等课程，满足升本需求</w:t>
      </w:r>
    </w:p>
    <w:p w14:paraId="41C3C0AF">
      <w:pPr>
        <w:numPr>
          <w:ilvl w:val="0"/>
          <w:numId w:val="1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引入人工智能（AI）通识课程</w:t>
      </w:r>
    </w:p>
    <w:p w14:paraId="0FDAF28A">
      <w:pPr>
        <w:numPr>
          <w:ilvl w:val="0"/>
          <w:numId w:val="0"/>
        </w:numPr>
        <w:outlineLvl w:val="2"/>
        <w:rPr>
          <w:rFonts w:hint="eastAsia" w:ascii="仿宋" w:hAnsi="仿宋" w:eastAsia="仿宋" w:cs="仿宋"/>
          <w:b/>
          <w:bCs w:val="0"/>
          <w:szCs w:val="32"/>
          <w:lang w:val="en-US" w:eastAsia="zh-CN"/>
        </w:rPr>
      </w:pPr>
      <w:bookmarkStart w:id="117" w:name="_Toc28720"/>
      <w:bookmarkStart w:id="118" w:name="_Toc32630"/>
      <w:r>
        <w:rPr>
          <w:rFonts w:hint="eastAsia" w:ascii="仿宋" w:hAnsi="仿宋" w:eastAsia="仿宋" w:cs="仿宋"/>
          <w:b/>
          <w:bCs w:val="0"/>
          <w:szCs w:val="32"/>
          <w:lang w:val="en-US" w:eastAsia="zh-CN"/>
        </w:rPr>
        <w:t>2.优化专业技能课程</w:t>
      </w:r>
      <w:bookmarkEnd w:id="117"/>
      <w:bookmarkEnd w:id="118"/>
    </w:p>
    <w:p w14:paraId="14B930BA">
      <w:pPr>
        <w:numPr>
          <w:ilvl w:val="0"/>
          <w:numId w:val="0"/>
        </w:numPr>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（1）大数据与会计交叉课程：</w:t>
      </w:r>
      <w:r>
        <w:rPr>
          <w:rFonts w:hint="eastAsia" w:ascii="仿宋" w:hAnsi="仿宋" w:eastAsia="仿宋" w:cs="仿宋"/>
          <w:b w:val="0"/>
          <w:bCs/>
          <w:szCs w:val="32"/>
          <w:lang w:val="en-US" w:eastAsia="zh-CN"/>
        </w:rPr>
        <w:t>根据毕业生和企业调研结果，增设财务报表与大数据分析、财务大数据挖掘与应用等课程，教授学生利用大数据技术进行财务分析、税务筹划和财务管理等技能，以适应企业对高级会计人才的需求。</w:t>
      </w:r>
    </w:p>
    <w:p w14:paraId="46EFEF6E">
      <w:pPr>
        <w:numPr>
          <w:ilvl w:val="0"/>
          <w:numId w:val="0"/>
        </w:numPr>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（2）财务管理与决策课程：</w:t>
      </w:r>
      <w:r>
        <w:rPr>
          <w:rFonts w:hint="eastAsia" w:ascii="仿宋" w:hAnsi="仿宋" w:eastAsia="仿宋" w:cs="仿宋"/>
          <w:b w:val="0"/>
          <w:bCs/>
          <w:szCs w:val="32"/>
          <w:lang w:val="en-US" w:eastAsia="zh-CN"/>
        </w:rPr>
        <w:t>加强财务管理、成本会计、预算会计等课程的实践应用环节，培养学生的财务管理和决策能力。</w:t>
      </w:r>
    </w:p>
    <w:p w14:paraId="0D69D34A">
      <w:pPr>
        <w:numPr>
          <w:ilvl w:val="0"/>
          <w:numId w:val="0"/>
        </w:numPr>
        <w:outlineLvl w:val="2"/>
        <w:rPr>
          <w:rFonts w:hint="eastAsia" w:ascii="仿宋" w:hAnsi="仿宋" w:eastAsia="仿宋" w:cs="仿宋"/>
          <w:b/>
          <w:bCs w:val="0"/>
          <w:szCs w:val="32"/>
          <w:lang w:val="en-US" w:eastAsia="zh-CN"/>
        </w:rPr>
      </w:pPr>
      <w:bookmarkStart w:id="119" w:name="_Toc27059"/>
      <w:bookmarkStart w:id="120" w:name="_Toc19775"/>
      <w:r>
        <w:rPr>
          <w:rFonts w:hint="eastAsia" w:ascii="仿宋" w:hAnsi="仿宋" w:eastAsia="仿宋" w:cs="仿宋"/>
          <w:b/>
          <w:bCs w:val="0"/>
          <w:szCs w:val="32"/>
          <w:lang w:val="en-US" w:eastAsia="zh-CN"/>
        </w:rPr>
        <w:t>3.丰富实践教学课程</w:t>
      </w:r>
      <w:bookmarkEnd w:id="119"/>
      <w:bookmarkEnd w:id="120"/>
    </w:p>
    <w:p w14:paraId="7AB2A9E5">
      <w:pPr>
        <w:numPr>
          <w:ilvl w:val="0"/>
          <w:numId w:val="0"/>
        </w:numPr>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（1）实训课程：</w:t>
      </w:r>
      <w:r>
        <w:rPr>
          <w:rFonts w:hint="eastAsia" w:ascii="仿宋" w:hAnsi="仿宋" w:eastAsia="仿宋" w:cs="仿宋"/>
          <w:b w:val="0"/>
          <w:bCs/>
          <w:szCs w:val="32"/>
          <w:lang w:val="en-US" w:eastAsia="zh-CN"/>
        </w:rPr>
        <w:t>强化会计模拟实训、税费计算与智能申报、智能财税共享等实践性课程，通过模拟真实工作环境，提升学生的实际操作能力。</w:t>
      </w:r>
    </w:p>
    <w:p w14:paraId="548BF4B3">
      <w:pPr>
        <w:numPr>
          <w:ilvl w:val="0"/>
          <w:numId w:val="0"/>
        </w:numPr>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（2）案例分析课程：</w:t>
      </w:r>
      <w:r>
        <w:rPr>
          <w:rFonts w:hint="eastAsia" w:ascii="仿宋" w:hAnsi="仿宋" w:eastAsia="仿宋" w:cs="仿宋"/>
          <w:b w:val="0"/>
          <w:bCs/>
          <w:szCs w:val="32"/>
          <w:lang w:val="en-US" w:eastAsia="zh-CN"/>
        </w:rPr>
        <w:t>各实训课程强化会计案例分析课程，通过具体案例分析，帮助学生理解理论知识在实际工作中的应用。</w:t>
      </w:r>
    </w:p>
    <w:p w14:paraId="3D54A2EA">
      <w:pPr>
        <w:numPr>
          <w:ilvl w:val="0"/>
          <w:numId w:val="0"/>
        </w:numPr>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（3）行业前沿与职业拓展课程：</w:t>
      </w:r>
    </w:p>
    <w:p w14:paraId="41CE7390">
      <w:pPr>
        <w:numPr>
          <w:ilvl w:val="0"/>
          <w:numId w:val="18"/>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行业前沿课程：根据市场发展趋势和企业需求，定期开设新兴技术、行业前沿等课程，如人工智能在会计中的应用、区块链技术在财务管理中的探索等，培养学生的创新能力和对新技术的适应能力。</w:t>
      </w:r>
    </w:p>
    <w:p w14:paraId="42EC9CFA">
      <w:pPr>
        <w:numPr>
          <w:ilvl w:val="0"/>
          <w:numId w:val="0"/>
        </w:numPr>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职业拓展课程：</w:t>
      </w:r>
      <w:r>
        <w:rPr>
          <w:rFonts w:hint="eastAsia" w:ascii="仿宋" w:hAnsi="仿宋" w:eastAsia="仿宋" w:cs="仿宋"/>
          <w:b w:val="0"/>
          <w:bCs/>
          <w:szCs w:val="32"/>
          <w:lang w:val="en-US" w:eastAsia="zh-CN"/>
        </w:rPr>
        <w:t>提供职业技能认证培训课程、专升本培训课程等，帮助学生拓宽职业路径，提升就业竞争力。</w:t>
      </w:r>
    </w:p>
    <w:p w14:paraId="2D5EF314">
      <w:pPr>
        <w:numPr>
          <w:ilvl w:val="0"/>
          <w:numId w:val="0"/>
        </w:numPr>
        <w:ind w:firstLine="643" w:firstLineChars="200"/>
        <w:outlineLvl w:val="2"/>
        <w:rPr>
          <w:rFonts w:hint="eastAsia" w:ascii="仿宋" w:hAnsi="仿宋" w:eastAsia="仿宋" w:cs="仿宋"/>
          <w:b/>
          <w:bCs w:val="0"/>
          <w:szCs w:val="32"/>
          <w:lang w:val="en-US" w:eastAsia="zh-CN"/>
        </w:rPr>
      </w:pPr>
      <w:bookmarkStart w:id="121" w:name="_Toc11535"/>
      <w:bookmarkStart w:id="122" w:name="_Toc31098"/>
      <w:r>
        <w:rPr>
          <w:rFonts w:hint="eastAsia" w:ascii="仿宋" w:hAnsi="仿宋" w:eastAsia="仿宋" w:cs="仿宋"/>
          <w:b/>
          <w:bCs w:val="0"/>
          <w:szCs w:val="32"/>
          <w:lang w:val="en-US" w:eastAsia="zh-CN"/>
        </w:rPr>
        <w:t>4.个性化与差异化教学：</w:t>
      </w:r>
      <w:bookmarkEnd w:id="121"/>
      <w:bookmarkEnd w:id="122"/>
    </w:p>
    <w:p w14:paraId="2B0FB190">
      <w:pPr>
        <w:numPr>
          <w:ilvl w:val="0"/>
          <w:numId w:val="0"/>
        </w:numPr>
        <w:ind w:firstLine="643" w:firstLineChars="20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（1）选修课程：</w:t>
      </w:r>
      <w:r>
        <w:rPr>
          <w:rFonts w:hint="eastAsia" w:ascii="仿宋" w:hAnsi="仿宋" w:eastAsia="仿宋" w:cs="仿宋"/>
          <w:b w:val="0"/>
          <w:bCs/>
          <w:szCs w:val="32"/>
          <w:lang w:val="en-US" w:eastAsia="zh-CN"/>
        </w:rPr>
        <w:t>设置多样化的选修课程，如税务筹划、内部控制与审计、企业并购与重组等，满足不同学生的个性化发展需求。</w:t>
      </w:r>
    </w:p>
    <w:p w14:paraId="7319B864">
      <w:pPr>
        <w:numPr>
          <w:ilvl w:val="0"/>
          <w:numId w:val="0"/>
        </w:numPr>
        <w:ind w:firstLine="643" w:firstLineChars="20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（2）分层教学</w:t>
      </w:r>
      <w:r>
        <w:rPr>
          <w:rFonts w:hint="eastAsia" w:ascii="仿宋" w:hAnsi="仿宋" w:eastAsia="仿宋" w:cs="仿宋"/>
          <w:b w:val="0"/>
          <w:bCs/>
          <w:szCs w:val="32"/>
          <w:lang w:val="en-US" w:eastAsia="zh-CN"/>
        </w:rPr>
        <w:t>：根据学生基础和兴趣，实施分层教学，为不同层次的学生提供适合的课程内容和难度。</w:t>
      </w:r>
    </w:p>
    <w:p w14:paraId="7E52AEC3">
      <w:pPr>
        <w:numPr>
          <w:ilvl w:val="0"/>
          <w:numId w:val="0"/>
        </w:numPr>
        <w:ind w:leftChars="200"/>
        <w:outlineLvl w:val="1"/>
        <w:rPr>
          <w:rFonts w:hint="eastAsia" w:ascii="仿宋" w:hAnsi="仿宋" w:eastAsia="仿宋" w:cs="仿宋"/>
          <w:b/>
          <w:szCs w:val="32"/>
          <w:lang w:val="en-US" w:eastAsia="zh-CN"/>
        </w:rPr>
      </w:pPr>
      <w:bookmarkStart w:id="123" w:name="_Toc1702"/>
      <w:r>
        <w:rPr>
          <w:rFonts w:hint="eastAsia" w:ascii="仿宋" w:hAnsi="仿宋" w:eastAsia="仿宋" w:cs="仿宋"/>
          <w:b/>
          <w:szCs w:val="32"/>
          <w:lang w:val="en-US" w:eastAsia="zh-CN"/>
        </w:rPr>
        <w:t>（五）实践教学体系</w:t>
      </w:r>
      <w:bookmarkEnd w:id="123"/>
    </w:p>
    <w:p w14:paraId="75B2080B">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结合行业需求与各层次院校实践特点，构建 “阶梯式进阶 + 校企协同 + 技术赋能” 的立体化实践教学体系：</w:t>
      </w:r>
    </w:p>
    <w:p w14:paraId="27AB9EF5">
      <w:pPr>
        <w:numPr>
          <w:ilvl w:val="0"/>
          <w:numId w:val="0"/>
        </w:numPr>
        <w:ind w:firstLine="64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1. 分阶段实践进阶</w:t>
      </w:r>
    </w:p>
    <w:p w14:paraId="774ECE15">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基础技能层（1-2 学期）：依托校内手工、电算化实训室，开展点钞、基础会计模拟等实训，夯实凭证处理、账簿登记等基础操作能力。</w:t>
      </w:r>
    </w:p>
    <w:p w14:paraId="5240796A">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专业技能层（3-4 学期）：利用财务共享实训室，通过 ERP 系统、RPA 工具，开展智能化税费申报、业财一体化等实训，培养数字化工具应用能力。</w:t>
      </w:r>
    </w:p>
    <w:p w14:paraId="5A6FB7AE">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综合应用层（5-6 学期）：通过校外基地顶岗实习、企业沙盘模拟，参与真实财务分析、大数据建模等项目，强化复合能力。</w:t>
      </w:r>
    </w:p>
    <w:p w14:paraId="5F595499">
      <w:pPr>
        <w:numPr>
          <w:ilvl w:val="0"/>
          <w:numId w:val="0"/>
        </w:numPr>
        <w:ind w:firstLine="64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2. 校企协同机制</w:t>
      </w:r>
    </w:p>
    <w:p w14:paraId="6976C00B">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共建实训基地：引入企业智能财税平台，搭建仿真财务共享中心，实现 “学习即工作”。</w:t>
      </w:r>
    </w:p>
    <w:p w14:paraId="7F2ED648">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双导师指导：校内教师与企业导师联合授课，企业导师参与案例设计与实习指导，确保内容贴合行业需求（如跨境税务、ESG 报告）。</w:t>
      </w:r>
    </w:p>
    <w:p w14:paraId="331B0662">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项目化实践：以企业真实项目为载体，开展智能记账、税务筹划等 “真题真做” 任务。</w:t>
      </w:r>
    </w:p>
    <w:p w14:paraId="2CE7C757">
      <w:pPr>
        <w:numPr>
          <w:ilvl w:val="0"/>
          <w:numId w:val="0"/>
        </w:numPr>
        <w:ind w:firstLine="64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3. 技术赋能升级</w:t>
      </w:r>
    </w:p>
    <w:p w14:paraId="1CB35F84">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新兴工具实训：增设 Python、AI 财务分析、区块链等模块，掌握非结构化数据处理、智能报告生成技能。</w:t>
      </w:r>
    </w:p>
    <w:p w14:paraId="24C51625">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跨学科项目：联合信息技术、国际贸易等专业，开展数据治理、跨境财务协同等实践。</w:t>
      </w:r>
    </w:p>
    <w:p w14:paraId="2FA65578">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虚拟仿真平台：用 VR 模拟复杂财务场景（如跨国并购尽调），弥补传统实习局限。</w:t>
      </w:r>
    </w:p>
    <w:p w14:paraId="0A3466C7">
      <w:pPr>
        <w:numPr>
          <w:ilvl w:val="0"/>
          <w:numId w:val="0"/>
        </w:numPr>
        <w:ind w:firstLine="64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4. 考核与反馈闭环</w:t>
      </w:r>
    </w:p>
    <w:p w14:paraId="5DF413CF">
      <w:pPr>
        <w:numPr>
          <w:ilvl w:val="0"/>
          <w:numId w:val="0"/>
        </w:numPr>
        <w:ind w:firstLine="64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多元考核：结合 1+X 证书标准、企业岗位评价，采用 “操作 + 成果 + 评价” 评分方式。</w:t>
      </w:r>
    </w:p>
    <w:p w14:paraId="31FB0911">
      <w:pPr>
        <w:numPr>
          <w:ilvl w:val="0"/>
          <w:numId w:val="0"/>
        </w:numPr>
        <w:ind w:firstLine="640"/>
        <w:outlineLvl w:val="9"/>
        <w:rPr>
          <w:rFonts w:hint="default" w:ascii="仿宋" w:hAnsi="仿宋" w:eastAsia="仿宋" w:cs="仿宋"/>
          <w:b/>
          <w:szCs w:val="32"/>
          <w:lang w:val="en-US" w:eastAsia="zh-CN"/>
        </w:rPr>
      </w:pPr>
      <w:r>
        <w:rPr>
          <w:rFonts w:hint="eastAsia" w:ascii="仿宋" w:hAnsi="仿宋" w:eastAsia="仿宋" w:cs="仿宋"/>
          <w:b w:val="0"/>
          <w:bCs/>
          <w:szCs w:val="32"/>
          <w:lang w:val="en-US" w:eastAsia="zh-CN"/>
        </w:rPr>
        <w:t>动态调整：根据企业与毕业生反馈，优化实训内容。</w:t>
      </w:r>
    </w:p>
    <w:p w14:paraId="59934591">
      <w:pPr>
        <w:numPr>
          <w:ilvl w:val="0"/>
          <w:numId w:val="0"/>
        </w:numPr>
        <w:ind w:leftChars="200"/>
        <w:outlineLvl w:val="1"/>
        <w:rPr>
          <w:rFonts w:hint="eastAsia" w:ascii="仿宋" w:hAnsi="仿宋" w:eastAsia="仿宋" w:cs="仿宋"/>
          <w:b/>
          <w:szCs w:val="32"/>
          <w:lang w:val="en-US" w:eastAsia="zh-CN"/>
        </w:rPr>
      </w:pPr>
      <w:bookmarkStart w:id="124" w:name="_Toc15231"/>
      <w:r>
        <w:rPr>
          <w:rFonts w:hint="eastAsia" w:ascii="仿宋" w:hAnsi="仿宋" w:eastAsia="仿宋" w:cs="仿宋"/>
          <w:b/>
          <w:szCs w:val="32"/>
          <w:lang w:val="en-US" w:eastAsia="zh-CN"/>
        </w:rPr>
        <w:t>（六）毕业要求</w:t>
      </w:r>
      <w:bookmarkEnd w:id="124"/>
    </w:p>
    <w:p w14:paraId="76FEE092">
      <w:pPr>
        <w:numPr>
          <w:ilvl w:val="0"/>
          <w:numId w:val="0"/>
        </w:num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为确保学生的培养质量，高职院校大数据与会计专业的毕业要求应包括以下几个方面：</w:t>
      </w:r>
    </w:p>
    <w:p w14:paraId="6F13646D">
      <w:pPr>
        <w:numPr>
          <w:ilvl w:val="0"/>
          <w:numId w:val="1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学分要求：</w:t>
      </w:r>
      <w:r>
        <w:rPr>
          <w:rFonts w:hint="eastAsia" w:ascii="仿宋" w:hAnsi="仿宋" w:eastAsia="仿宋" w:cs="仿宋"/>
          <w:b w:val="0"/>
          <w:bCs/>
          <w:szCs w:val="32"/>
          <w:lang w:val="en-US" w:eastAsia="zh-CN"/>
        </w:rPr>
        <w:t>修满规定的学分，包括必修课程和选修课程，确保学生掌握全面的专业知识与技能。</w:t>
      </w:r>
    </w:p>
    <w:p w14:paraId="547A75A3">
      <w:pPr>
        <w:numPr>
          <w:ilvl w:val="0"/>
          <w:numId w:val="1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课程考核：</w:t>
      </w:r>
      <w:r>
        <w:rPr>
          <w:rFonts w:hint="eastAsia" w:ascii="仿宋" w:hAnsi="仿宋" w:eastAsia="仿宋" w:cs="仿宋"/>
          <w:b w:val="0"/>
          <w:bCs/>
          <w:szCs w:val="32"/>
          <w:lang w:val="en-US" w:eastAsia="zh-CN"/>
        </w:rPr>
        <w:t>所有课程考核合格，特别是实践课程和企业实习表现需达到预定标准。</w:t>
      </w:r>
    </w:p>
    <w:p w14:paraId="0CFA2576">
      <w:pPr>
        <w:numPr>
          <w:ilvl w:val="0"/>
          <w:numId w:val="1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职业资格证书：</w:t>
      </w:r>
      <w:r>
        <w:rPr>
          <w:rFonts w:hint="eastAsia" w:ascii="仿宋" w:hAnsi="仿宋" w:eastAsia="仿宋" w:cs="仿宋"/>
          <w:b w:val="0"/>
          <w:bCs/>
          <w:szCs w:val="32"/>
          <w:lang w:val="en-US" w:eastAsia="zh-CN"/>
        </w:rPr>
        <w:t>鼓励学生考取初级会计师证书等相关职业资格证书，作为毕业的重要条件之一。</w:t>
      </w:r>
    </w:p>
    <w:p w14:paraId="3F32338C">
      <w:pPr>
        <w:numPr>
          <w:ilvl w:val="0"/>
          <w:numId w:val="19"/>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毕业设计或论文：</w:t>
      </w:r>
      <w:r>
        <w:rPr>
          <w:rFonts w:hint="eastAsia" w:ascii="仿宋" w:hAnsi="仿宋" w:eastAsia="仿宋" w:cs="仿宋"/>
          <w:b w:val="0"/>
          <w:bCs/>
          <w:szCs w:val="32"/>
          <w:lang w:val="en-US" w:eastAsia="zh-CN"/>
        </w:rPr>
        <w:t>完成毕业设计或论文，并通过答辩，展示学生在专业领域内的综合能力和创新思维。</w:t>
      </w:r>
    </w:p>
    <w:p w14:paraId="0DB91DD9">
      <w:pPr>
        <w:numPr>
          <w:ilvl w:val="0"/>
          <w:numId w:val="0"/>
        </w:numPr>
        <w:ind w:leftChars="200"/>
        <w:outlineLvl w:val="1"/>
        <w:rPr>
          <w:rFonts w:hint="eastAsia" w:ascii="仿宋" w:hAnsi="仿宋" w:eastAsia="仿宋" w:cs="仿宋"/>
          <w:b/>
          <w:szCs w:val="32"/>
          <w:lang w:val="en-US" w:eastAsia="zh-CN"/>
        </w:rPr>
      </w:pPr>
      <w:bookmarkStart w:id="125" w:name="_Toc11085041"/>
      <w:bookmarkStart w:id="126" w:name="_Toc25953_WPSOffice_Level2"/>
      <w:bookmarkStart w:id="127" w:name="_Toc27208"/>
      <w:bookmarkStart w:id="128" w:name="OLE_LINK6"/>
      <w:r>
        <w:rPr>
          <w:rFonts w:hint="eastAsia" w:ascii="仿宋" w:hAnsi="仿宋" w:eastAsia="仿宋" w:cs="仿宋"/>
          <w:b/>
          <w:szCs w:val="32"/>
          <w:lang w:val="en-US" w:eastAsia="zh-CN"/>
        </w:rPr>
        <w:t>（七）师资队伍</w:t>
      </w:r>
      <w:bookmarkEnd w:id="125"/>
      <w:bookmarkEnd w:id="126"/>
      <w:bookmarkEnd w:id="127"/>
    </w:p>
    <w:p w14:paraId="56733E7D">
      <w:pPr>
        <w:numPr>
          <w:ilvl w:val="0"/>
          <w:numId w:val="0"/>
        </w:num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师资队伍是保障人才培养方案顺利实施的关键。具体建议如下：</w:t>
      </w:r>
    </w:p>
    <w:p w14:paraId="117A7F1E">
      <w:pPr>
        <w:numPr>
          <w:ilvl w:val="0"/>
          <w:numId w:val="20"/>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双师素质：</w:t>
      </w:r>
      <w:r>
        <w:rPr>
          <w:rFonts w:hint="eastAsia" w:ascii="仿宋" w:hAnsi="仿宋" w:eastAsia="仿宋" w:cs="仿宋"/>
          <w:b w:val="0"/>
          <w:bCs/>
          <w:szCs w:val="32"/>
          <w:lang w:val="en-US" w:eastAsia="zh-CN"/>
        </w:rPr>
        <w:t>专任教师需具备“双师”素质，即既有扎实的会计理论功底，又有丰富的企业实践经验。</w:t>
      </w:r>
    </w:p>
    <w:p w14:paraId="3394243E">
      <w:pPr>
        <w:numPr>
          <w:ilvl w:val="0"/>
          <w:numId w:val="20"/>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行业专家参与：</w:t>
      </w:r>
      <w:r>
        <w:rPr>
          <w:rFonts w:hint="eastAsia" w:ascii="仿宋" w:hAnsi="仿宋" w:eastAsia="仿宋" w:cs="仿宋"/>
          <w:b w:val="0"/>
          <w:bCs/>
          <w:szCs w:val="32"/>
          <w:lang w:val="en-US" w:eastAsia="zh-CN"/>
        </w:rPr>
        <w:t>积极引入企业行业专家作为兼职教师，共同参与教学，确保教学内容与行业需求紧密对接。</w:t>
      </w:r>
    </w:p>
    <w:p w14:paraId="238E6345">
      <w:pPr>
        <w:numPr>
          <w:ilvl w:val="0"/>
          <w:numId w:val="20"/>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师资培训：</w:t>
      </w:r>
      <w:r>
        <w:rPr>
          <w:rFonts w:hint="eastAsia" w:ascii="仿宋" w:hAnsi="仿宋" w:eastAsia="仿宋" w:cs="仿宋"/>
          <w:b w:val="0"/>
          <w:bCs/>
          <w:szCs w:val="32"/>
          <w:lang w:val="en-US" w:eastAsia="zh-CN"/>
        </w:rPr>
        <w:t>加强教师的专业培训和进修学习，特别是大数据技术与财务分析的培训，提高教师的教学水平和专业素养。</w:t>
      </w:r>
    </w:p>
    <w:p w14:paraId="54E8698D">
      <w:pPr>
        <w:numPr>
          <w:ilvl w:val="0"/>
          <w:numId w:val="20"/>
        </w:numPr>
        <w:ind w:left="420" w:leftChars="0" w:hanging="420" w:firstLineChars="0"/>
        <w:outlineLvl w:val="9"/>
        <w:rPr>
          <w:rFonts w:hint="eastAsia" w:ascii="仿宋" w:hAnsi="仿宋" w:eastAsia="仿宋" w:cs="仿宋"/>
          <w:b w:val="0"/>
          <w:bCs/>
          <w:szCs w:val="32"/>
          <w:lang w:val="en-US" w:eastAsia="zh-CN"/>
        </w:rPr>
      </w:pPr>
      <w:r>
        <w:rPr>
          <w:rFonts w:hint="eastAsia" w:ascii="仿宋" w:hAnsi="仿宋" w:eastAsia="仿宋" w:cs="仿宋"/>
          <w:b/>
          <w:bCs w:val="0"/>
          <w:szCs w:val="32"/>
          <w:lang w:val="en-US" w:eastAsia="zh-CN"/>
        </w:rPr>
        <w:t>师资结构优化：</w:t>
      </w:r>
      <w:r>
        <w:rPr>
          <w:rFonts w:hint="eastAsia" w:ascii="仿宋" w:hAnsi="仿宋" w:eastAsia="仿宋" w:cs="仿宋"/>
          <w:b w:val="0"/>
          <w:bCs/>
          <w:szCs w:val="32"/>
          <w:lang w:val="en-US" w:eastAsia="zh-CN"/>
        </w:rPr>
        <w:t>注重师资队伍的学历、职称结构优化，提升专业带头人和课程负责人的行业影响力。</w:t>
      </w:r>
    </w:p>
    <w:bookmarkEnd w:id="128"/>
    <w:p w14:paraId="2AAD49EA">
      <w:pPr>
        <w:ind w:firstLine="643" w:firstLineChars="200"/>
        <w:outlineLvl w:val="1"/>
        <w:rPr>
          <w:rFonts w:hint="default" w:ascii="仿宋" w:hAnsi="仿宋" w:eastAsia="仿宋" w:cs="仿宋"/>
          <w:b/>
          <w:szCs w:val="32"/>
          <w:lang w:val="en-US" w:eastAsia="zh-CN"/>
        </w:rPr>
      </w:pPr>
      <w:bookmarkStart w:id="129" w:name="_Toc11653_WPSOffice_Level2"/>
      <w:bookmarkStart w:id="130" w:name="_Toc11085042"/>
      <w:bookmarkStart w:id="131" w:name="_Toc28636"/>
      <w:r>
        <w:rPr>
          <w:rFonts w:hint="eastAsia" w:ascii="仿宋" w:hAnsi="仿宋" w:eastAsia="仿宋" w:cs="仿宋"/>
          <w:b/>
          <w:szCs w:val="32"/>
          <w:lang w:val="en-US" w:eastAsia="zh-CN"/>
        </w:rPr>
        <w:t>（八）</w:t>
      </w:r>
      <w:bookmarkEnd w:id="129"/>
      <w:bookmarkEnd w:id="130"/>
      <w:bookmarkStart w:id="132" w:name="OLE_LINK7"/>
      <w:r>
        <w:rPr>
          <w:rFonts w:hint="eastAsia" w:ascii="仿宋" w:hAnsi="仿宋" w:eastAsia="仿宋" w:cs="仿宋"/>
          <w:b/>
          <w:szCs w:val="32"/>
          <w:lang w:val="en-US" w:eastAsia="zh-CN"/>
        </w:rPr>
        <w:t>教学条件</w:t>
      </w:r>
      <w:bookmarkEnd w:id="131"/>
    </w:p>
    <w:bookmarkEnd w:id="104"/>
    <w:bookmarkEnd w:id="132"/>
    <w:p w14:paraId="56D29B0D">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先进的教学设施是提升教学效果的重要保障。</w:t>
      </w:r>
    </w:p>
    <w:p w14:paraId="10B7F4D8">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具体建议如下：</w:t>
      </w:r>
    </w:p>
    <w:p w14:paraId="7832F42B">
      <w:pPr>
        <w:numPr>
          <w:ilvl w:val="0"/>
          <w:numId w:val="20"/>
        </w:numPr>
        <w:spacing w:line="288" w:lineRule="auto"/>
        <w:ind w:left="420" w:leftChars="0" w:hanging="420" w:firstLineChars="0"/>
        <w:rPr>
          <w:rFonts w:hint="eastAsia" w:ascii="仿宋" w:hAnsi="仿宋" w:eastAsia="仿宋" w:cs="仿宋"/>
          <w:szCs w:val="32"/>
        </w:rPr>
      </w:pPr>
      <w:r>
        <w:rPr>
          <w:rFonts w:hint="eastAsia" w:ascii="仿宋" w:hAnsi="仿宋" w:eastAsia="仿宋" w:cs="仿宋"/>
          <w:b/>
          <w:bCs/>
          <w:szCs w:val="32"/>
        </w:rPr>
        <w:t>校内实训基地：</w:t>
      </w:r>
      <w:r>
        <w:rPr>
          <w:rFonts w:hint="eastAsia" w:ascii="仿宋" w:hAnsi="仿宋" w:eastAsia="仿宋" w:cs="仿宋"/>
          <w:szCs w:val="32"/>
        </w:rPr>
        <w:t>建设现代化的校内实训基地，如VBSE财务综合实训室、会计工厂等，提供仿真实训环境，帮助学生掌握实际操作技能。</w:t>
      </w:r>
    </w:p>
    <w:p w14:paraId="60257B50">
      <w:pPr>
        <w:numPr>
          <w:ilvl w:val="0"/>
          <w:numId w:val="20"/>
        </w:numPr>
        <w:spacing w:line="288" w:lineRule="auto"/>
        <w:ind w:left="420" w:leftChars="0" w:hanging="420" w:firstLineChars="0"/>
        <w:rPr>
          <w:rFonts w:hint="eastAsia" w:ascii="仿宋" w:hAnsi="仿宋" w:eastAsia="仿宋" w:cs="仿宋"/>
          <w:szCs w:val="32"/>
        </w:rPr>
      </w:pPr>
      <w:r>
        <w:rPr>
          <w:rFonts w:hint="eastAsia" w:ascii="仿宋" w:hAnsi="仿宋" w:eastAsia="仿宋" w:cs="仿宋"/>
          <w:b/>
          <w:bCs/>
          <w:szCs w:val="32"/>
        </w:rPr>
        <w:t>校外实训基地：</w:t>
      </w:r>
      <w:r>
        <w:rPr>
          <w:rFonts w:hint="eastAsia" w:ascii="仿宋" w:hAnsi="仿宋" w:eastAsia="仿宋" w:cs="仿宋"/>
          <w:szCs w:val="32"/>
        </w:rPr>
        <w:t>与多家企业建立合作关系，设立校外实训基地，为学生提供岗位实习和就业支持，实现校企深度融合。</w:t>
      </w:r>
    </w:p>
    <w:p w14:paraId="7D3765EE">
      <w:pPr>
        <w:numPr>
          <w:ilvl w:val="0"/>
          <w:numId w:val="20"/>
        </w:numPr>
        <w:spacing w:line="288" w:lineRule="auto"/>
        <w:ind w:left="420" w:leftChars="0" w:hanging="420" w:firstLineChars="0"/>
        <w:rPr>
          <w:rFonts w:hint="eastAsia" w:ascii="仿宋" w:hAnsi="仿宋" w:eastAsia="仿宋" w:cs="仿宋"/>
          <w:szCs w:val="32"/>
        </w:rPr>
      </w:pPr>
      <w:r>
        <w:rPr>
          <w:rFonts w:hint="eastAsia" w:ascii="仿宋" w:hAnsi="仿宋" w:eastAsia="仿宋" w:cs="仿宋"/>
          <w:b/>
          <w:bCs/>
          <w:szCs w:val="32"/>
        </w:rPr>
        <w:t>数字资源：</w:t>
      </w:r>
      <w:r>
        <w:rPr>
          <w:rFonts w:hint="eastAsia" w:ascii="仿宋" w:hAnsi="仿宋" w:eastAsia="仿宋" w:cs="仿宋"/>
          <w:szCs w:val="32"/>
        </w:rPr>
        <w:t>引进多种数字资源，如CNKI中国知网全文数据库、移动图书馆等，满足学生不同阶段的学习需求。同时建设网络学习平台，支持在线学习。</w:t>
      </w:r>
    </w:p>
    <w:p w14:paraId="05F2EC45">
      <w:pPr>
        <w:numPr>
          <w:ilvl w:val="0"/>
          <w:numId w:val="20"/>
        </w:numPr>
        <w:spacing w:line="288" w:lineRule="auto"/>
        <w:ind w:left="420" w:leftChars="0" w:hanging="420" w:firstLineChars="0"/>
        <w:rPr>
          <w:rFonts w:hint="eastAsia" w:ascii="仿宋" w:hAnsi="仿宋" w:eastAsia="仿宋" w:cs="仿宋"/>
          <w:szCs w:val="32"/>
        </w:rPr>
      </w:pPr>
      <w:r>
        <w:rPr>
          <w:rFonts w:hint="eastAsia" w:ascii="仿宋" w:hAnsi="仿宋" w:eastAsia="仿宋" w:cs="仿宋"/>
          <w:b/>
          <w:bCs/>
          <w:szCs w:val="32"/>
        </w:rPr>
        <w:t>教学软件：</w:t>
      </w:r>
      <w:r>
        <w:rPr>
          <w:rFonts w:hint="eastAsia" w:ascii="仿宋" w:hAnsi="仿宋" w:eastAsia="仿宋" w:cs="仿宋"/>
          <w:szCs w:val="32"/>
        </w:rPr>
        <w:t>配备多种教学软件，满足学生实验和实训需求，提升教学效果。如ERP系统、财务数据分析软件等。</w:t>
      </w:r>
    </w:p>
    <w:p w14:paraId="485AB8DE">
      <w:pPr>
        <w:ind w:firstLine="643" w:firstLineChars="200"/>
        <w:outlineLvl w:val="1"/>
        <w:rPr>
          <w:rFonts w:hint="default" w:ascii="仿宋" w:hAnsi="仿宋" w:eastAsia="仿宋" w:cs="仿宋"/>
          <w:b/>
          <w:szCs w:val="32"/>
          <w:lang w:val="en-US" w:eastAsia="zh-CN"/>
        </w:rPr>
      </w:pPr>
      <w:bookmarkStart w:id="133" w:name="_Toc31622"/>
      <w:r>
        <w:rPr>
          <w:rFonts w:hint="eastAsia" w:ascii="仿宋" w:hAnsi="仿宋" w:eastAsia="仿宋" w:cs="仿宋"/>
          <w:b/>
          <w:szCs w:val="32"/>
          <w:lang w:val="en-US" w:eastAsia="zh-CN"/>
        </w:rPr>
        <w:t>（九）质量保证</w:t>
      </w:r>
      <w:bookmarkEnd w:id="133"/>
    </w:p>
    <w:p w14:paraId="0B7A6D54">
      <w:pPr>
        <w:numPr>
          <w:ilvl w:val="0"/>
          <w:numId w:val="0"/>
        </w:numPr>
        <w:ind w:firstLine="643" w:firstLineChars="20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1、课程评估与反馈</w:t>
      </w:r>
    </w:p>
    <w:p w14:paraId="2DC346A9">
      <w:pPr>
        <w:numPr>
          <w:ilvl w:val="0"/>
          <w:numId w:val="0"/>
        </w:numPr>
        <w:ind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定期收集毕业生、在校生及企业的反馈意见，对课程设置进行评估和调整，确保课程内容与行业需求保持一致。</w:t>
      </w:r>
    </w:p>
    <w:p w14:paraId="1F84978C">
      <w:pPr>
        <w:numPr>
          <w:ilvl w:val="0"/>
          <w:numId w:val="0"/>
        </w:numPr>
        <w:ind w:left="640" w:leftChars="0"/>
        <w:outlineLvl w:val="9"/>
        <w:rPr>
          <w:rFonts w:hint="eastAsia" w:ascii="仿宋" w:hAnsi="仿宋" w:eastAsia="仿宋" w:cs="仿宋"/>
          <w:b/>
          <w:bCs w:val="0"/>
          <w:szCs w:val="32"/>
          <w:lang w:val="en-US" w:eastAsia="zh-CN"/>
        </w:rPr>
      </w:pPr>
      <w:r>
        <w:rPr>
          <w:rFonts w:hint="eastAsia" w:ascii="仿宋" w:hAnsi="仿宋" w:eastAsia="仿宋" w:cs="仿宋"/>
          <w:b/>
          <w:bCs w:val="0"/>
          <w:szCs w:val="32"/>
          <w:lang w:val="en-US" w:eastAsia="zh-CN"/>
        </w:rPr>
        <w:t>2、动态更新：</w:t>
      </w:r>
    </w:p>
    <w:p w14:paraId="5B12D2D8">
      <w:pPr>
        <w:numPr>
          <w:ilvl w:val="0"/>
          <w:numId w:val="0"/>
        </w:numPr>
        <w:ind w:left="0" w:leftChars="0" w:firstLine="640" w:firstLineChars="200"/>
        <w:outlineLvl w:val="9"/>
        <w:rPr>
          <w:rFonts w:hint="eastAsia" w:ascii="仿宋" w:hAnsi="仿宋" w:eastAsia="仿宋" w:cs="仿宋"/>
          <w:b w:val="0"/>
          <w:bCs/>
          <w:szCs w:val="32"/>
          <w:lang w:val="en-US" w:eastAsia="zh-CN"/>
        </w:rPr>
      </w:pPr>
      <w:r>
        <w:rPr>
          <w:rFonts w:hint="eastAsia" w:ascii="仿宋" w:hAnsi="仿宋" w:eastAsia="仿宋" w:cs="仿宋"/>
          <w:b w:val="0"/>
          <w:bCs/>
          <w:szCs w:val="32"/>
          <w:lang w:val="en-US" w:eastAsia="zh-CN"/>
        </w:rPr>
        <w:t>随着技术的不断进步和市场需求的变化，及时调整课程内容和教学方法，确保课程的时效性和前瞻性。</w:t>
      </w:r>
    </w:p>
    <w:p w14:paraId="77AC4A9B">
      <w:pPr>
        <w:numPr>
          <w:ilvl w:val="0"/>
          <w:numId w:val="0"/>
        </w:numPr>
        <w:ind w:firstLine="640" w:firstLineChars="200"/>
        <w:outlineLvl w:val="9"/>
        <w:rPr>
          <w:rFonts w:hint="eastAsia" w:ascii="仿宋" w:hAnsi="仿宋" w:eastAsia="仿宋" w:cs="仿宋"/>
          <w:lang w:val="en-US" w:eastAsia="zh-CN"/>
        </w:rPr>
      </w:pPr>
      <w:r>
        <w:rPr>
          <w:rFonts w:hint="eastAsia" w:ascii="仿宋" w:hAnsi="仿宋" w:eastAsia="仿宋" w:cs="仿宋"/>
          <w:b w:val="0"/>
          <w:bCs/>
          <w:szCs w:val="32"/>
          <w:lang w:val="en-US" w:eastAsia="zh-CN"/>
        </w:rPr>
        <w:t>综上所述，高职院校大数据与会计专业的课程设置应以市场需求为导向，注重理论与实践的结合，强化新技术应用能力的培养，通过丰富的实践教学和个性化的教学方案，提升学生的综合素质和职业竞争力。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CCCAF02-4E82-4DE5-AAE5-CBE9CACFB9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2" w:fontKey="{87357DFA-6448-499E-829D-EC81283796B9}"/>
  </w:font>
  <w:font w:name="微软雅黑">
    <w:panose1 w:val="020B0503020204020204"/>
    <w:charset w:val="86"/>
    <w:family w:val="auto"/>
    <w:pitch w:val="default"/>
    <w:sig w:usb0="80000287" w:usb1="2ACF3C50" w:usb2="00000016" w:usb3="00000000" w:csb0="0004001F" w:csb1="00000000"/>
    <w:embedRegular r:id="rId3" w:fontKey="{C671DFE8-AC87-4941-91E8-84A95E102B42}"/>
  </w:font>
  <w:font w:name="楷体">
    <w:panose1 w:val="02010609060101010101"/>
    <w:charset w:val="86"/>
    <w:family w:val="modern"/>
    <w:pitch w:val="default"/>
    <w:sig w:usb0="800002BF" w:usb1="38CF7CFA" w:usb2="00000016" w:usb3="00000000" w:csb0="00040001" w:csb1="00000000"/>
    <w:embedRegular r:id="rId4" w:fontKey="{32EA9EBF-C6FA-45D3-8C91-46705FE60483}"/>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407158"/>
    <w:multiLevelType w:val="singleLevel"/>
    <w:tmpl w:val="9A407158"/>
    <w:lvl w:ilvl="0" w:tentative="0">
      <w:start w:val="1"/>
      <w:numFmt w:val="bullet"/>
      <w:lvlText w:val=""/>
      <w:lvlJc w:val="left"/>
      <w:pPr>
        <w:ind w:left="420" w:hanging="420"/>
      </w:pPr>
      <w:rPr>
        <w:rFonts w:hint="default" w:ascii="Wingdings" w:hAnsi="Wingdings"/>
      </w:rPr>
    </w:lvl>
  </w:abstractNum>
  <w:abstractNum w:abstractNumId="1">
    <w:nsid w:val="BDDECBC5"/>
    <w:multiLevelType w:val="singleLevel"/>
    <w:tmpl w:val="BDDECBC5"/>
    <w:lvl w:ilvl="0" w:tentative="0">
      <w:start w:val="1"/>
      <w:numFmt w:val="bullet"/>
      <w:lvlText w:val=""/>
      <w:lvlJc w:val="left"/>
      <w:pPr>
        <w:ind w:left="420" w:hanging="420"/>
      </w:pPr>
      <w:rPr>
        <w:rFonts w:hint="default" w:ascii="Wingdings" w:hAnsi="Wingdings"/>
      </w:rPr>
    </w:lvl>
  </w:abstractNum>
  <w:abstractNum w:abstractNumId="2">
    <w:nsid w:val="CA1E27BC"/>
    <w:multiLevelType w:val="singleLevel"/>
    <w:tmpl w:val="CA1E27BC"/>
    <w:lvl w:ilvl="0" w:tentative="0">
      <w:start w:val="1"/>
      <w:numFmt w:val="bullet"/>
      <w:lvlText w:val=""/>
      <w:lvlJc w:val="left"/>
      <w:pPr>
        <w:ind w:left="420" w:hanging="420"/>
      </w:pPr>
      <w:rPr>
        <w:rFonts w:hint="default" w:ascii="Wingdings" w:hAnsi="Wingdings"/>
      </w:rPr>
    </w:lvl>
  </w:abstractNum>
  <w:abstractNum w:abstractNumId="3">
    <w:nsid w:val="E3379D34"/>
    <w:multiLevelType w:val="singleLevel"/>
    <w:tmpl w:val="E3379D34"/>
    <w:lvl w:ilvl="0" w:tentative="0">
      <w:start w:val="2"/>
      <w:numFmt w:val="decimal"/>
      <w:suff w:val="nothing"/>
      <w:lvlText w:val="%1、"/>
      <w:lvlJc w:val="left"/>
      <w:pPr>
        <w:ind w:left="-3"/>
      </w:pPr>
    </w:lvl>
  </w:abstractNum>
  <w:abstractNum w:abstractNumId="4">
    <w:nsid w:val="085D4459"/>
    <w:multiLevelType w:val="singleLevel"/>
    <w:tmpl w:val="085D4459"/>
    <w:lvl w:ilvl="0" w:tentative="0">
      <w:start w:val="1"/>
      <w:numFmt w:val="chineseCounting"/>
      <w:suff w:val="nothing"/>
      <w:lvlText w:val="（%1）"/>
      <w:lvlJc w:val="left"/>
      <w:rPr>
        <w:rFonts w:hint="eastAsia"/>
      </w:rPr>
    </w:lvl>
  </w:abstractNum>
  <w:abstractNum w:abstractNumId="5">
    <w:nsid w:val="17F42A1F"/>
    <w:multiLevelType w:val="singleLevel"/>
    <w:tmpl w:val="17F42A1F"/>
    <w:lvl w:ilvl="0" w:tentative="0">
      <w:start w:val="2"/>
      <w:numFmt w:val="chineseCounting"/>
      <w:suff w:val="nothing"/>
      <w:lvlText w:val="（%1）"/>
      <w:lvlJc w:val="left"/>
      <w:rPr>
        <w:rFonts w:hint="eastAsia"/>
      </w:rPr>
    </w:lvl>
  </w:abstractNum>
  <w:abstractNum w:abstractNumId="6">
    <w:nsid w:val="20C60DF4"/>
    <w:multiLevelType w:val="singleLevel"/>
    <w:tmpl w:val="20C60DF4"/>
    <w:lvl w:ilvl="0" w:tentative="0">
      <w:start w:val="1"/>
      <w:numFmt w:val="bullet"/>
      <w:lvlText w:val=""/>
      <w:lvlJc w:val="left"/>
      <w:pPr>
        <w:ind w:left="420" w:hanging="420"/>
      </w:pPr>
      <w:rPr>
        <w:rFonts w:hint="default" w:ascii="Wingdings" w:hAnsi="Wingdings"/>
      </w:rPr>
    </w:lvl>
  </w:abstractNum>
  <w:abstractNum w:abstractNumId="7">
    <w:nsid w:val="218905E2"/>
    <w:multiLevelType w:val="singleLevel"/>
    <w:tmpl w:val="218905E2"/>
    <w:lvl w:ilvl="0" w:tentative="0">
      <w:start w:val="1"/>
      <w:numFmt w:val="bullet"/>
      <w:lvlText w:val=""/>
      <w:lvlJc w:val="left"/>
      <w:pPr>
        <w:ind w:left="420" w:hanging="420"/>
      </w:pPr>
      <w:rPr>
        <w:rFonts w:hint="default" w:ascii="Wingdings" w:hAnsi="Wingdings"/>
      </w:rPr>
    </w:lvl>
  </w:abstractNum>
  <w:abstractNum w:abstractNumId="8">
    <w:nsid w:val="22B43649"/>
    <w:multiLevelType w:val="singleLevel"/>
    <w:tmpl w:val="22B43649"/>
    <w:lvl w:ilvl="0" w:tentative="0">
      <w:start w:val="1"/>
      <w:numFmt w:val="bullet"/>
      <w:lvlText w:val=""/>
      <w:lvlJc w:val="left"/>
      <w:pPr>
        <w:ind w:left="420" w:hanging="420"/>
      </w:pPr>
      <w:rPr>
        <w:rFonts w:hint="default" w:ascii="Wingdings" w:hAnsi="Wingdings"/>
      </w:rPr>
    </w:lvl>
  </w:abstractNum>
  <w:abstractNum w:abstractNumId="9">
    <w:nsid w:val="2708D044"/>
    <w:multiLevelType w:val="singleLevel"/>
    <w:tmpl w:val="2708D044"/>
    <w:lvl w:ilvl="0" w:tentative="0">
      <w:start w:val="1"/>
      <w:numFmt w:val="bullet"/>
      <w:lvlText w:val=""/>
      <w:lvlJc w:val="left"/>
      <w:pPr>
        <w:ind w:left="420" w:hanging="420"/>
      </w:pPr>
      <w:rPr>
        <w:rFonts w:hint="default" w:ascii="Wingdings" w:hAnsi="Wingdings"/>
      </w:rPr>
    </w:lvl>
  </w:abstractNum>
  <w:abstractNum w:abstractNumId="10">
    <w:nsid w:val="2C0E78F7"/>
    <w:multiLevelType w:val="singleLevel"/>
    <w:tmpl w:val="2C0E78F7"/>
    <w:lvl w:ilvl="0" w:tentative="0">
      <w:start w:val="1"/>
      <w:numFmt w:val="bullet"/>
      <w:lvlText w:val=""/>
      <w:lvlJc w:val="left"/>
      <w:pPr>
        <w:ind w:left="420" w:hanging="420"/>
      </w:pPr>
      <w:rPr>
        <w:rFonts w:hint="default" w:ascii="Wingdings" w:hAnsi="Wingdings"/>
      </w:rPr>
    </w:lvl>
  </w:abstractNum>
  <w:abstractNum w:abstractNumId="11">
    <w:nsid w:val="32897ECC"/>
    <w:multiLevelType w:val="singleLevel"/>
    <w:tmpl w:val="32897ECC"/>
    <w:lvl w:ilvl="0" w:tentative="0">
      <w:start w:val="1"/>
      <w:numFmt w:val="bullet"/>
      <w:lvlText w:val=""/>
      <w:lvlJc w:val="left"/>
      <w:pPr>
        <w:ind w:left="420" w:hanging="420"/>
      </w:pPr>
      <w:rPr>
        <w:rFonts w:hint="default" w:ascii="Wingdings" w:hAnsi="Wingdings"/>
      </w:rPr>
    </w:lvl>
  </w:abstractNum>
  <w:abstractNum w:abstractNumId="12">
    <w:nsid w:val="353B4BCE"/>
    <w:multiLevelType w:val="multilevel"/>
    <w:tmpl w:val="353B4BCE"/>
    <w:lvl w:ilvl="0" w:tentative="0">
      <w:start w:val="1"/>
      <w:numFmt w:val="japaneseCounting"/>
      <w:pStyle w:val="14"/>
      <w:lvlText w:val="（%1）"/>
      <w:lvlJc w:val="left"/>
      <w:pPr>
        <w:ind w:left="1647" w:hanging="1080"/>
      </w:pPr>
      <w:rPr>
        <w:rFonts w:hint="default"/>
        <w:lang w:val="en-U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3E8FA9C4"/>
    <w:multiLevelType w:val="singleLevel"/>
    <w:tmpl w:val="3E8FA9C4"/>
    <w:lvl w:ilvl="0" w:tentative="0">
      <w:start w:val="1"/>
      <w:numFmt w:val="bullet"/>
      <w:lvlText w:val=""/>
      <w:lvlJc w:val="left"/>
      <w:pPr>
        <w:ind w:left="420" w:hanging="420"/>
      </w:pPr>
      <w:rPr>
        <w:rFonts w:hint="default" w:ascii="Wingdings" w:hAnsi="Wingdings"/>
      </w:rPr>
    </w:lvl>
  </w:abstractNum>
  <w:abstractNum w:abstractNumId="14">
    <w:nsid w:val="4C08B7BD"/>
    <w:multiLevelType w:val="singleLevel"/>
    <w:tmpl w:val="4C08B7BD"/>
    <w:lvl w:ilvl="0" w:tentative="0">
      <w:start w:val="1"/>
      <w:numFmt w:val="bullet"/>
      <w:lvlText w:val=""/>
      <w:lvlJc w:val="left"/>
      <w:pPr>
        <w:ind w:left="420" w:hanging="420"/>
      </w:pPr>
      <w:rPr>
        <w:rFonts w:hint="default" w:ascii="Wingdings" w:hAnsi="Wingdings"/>
      </w:rPr>
    </w:lvl>
  </w:abstractNum>
  <w:abstractNum w:abstractNumId="15">
    <w:nsid w:val="560F759B"/>
    <w:multiLevelType w:val="singleLevel"/>
    <w:tmpl w:val="560F759B"/>
    <w:lvl w:ilvl="0" w:tentative="0">
      <w:start w:val="1"/>
      <w:numFmt w:val="bullet"/>
      <w:lvlText w:val=""/>
      <w:lvlJc w:val="left"/>
      <w:pPr>
        <w:ind w:left="420" w:hanging="420"/>
      </w:pPr>
      <w:rPr>
        <w:rFonts w:hint="default" w:ascii="Wingdings" w:hAnsi="Wingdings"/>
      </w:rPr>
    </w:lvl>
  </w:abstractNum>
  <w:abstractNum w:abstractNumId="16">
    <w:nsid w:val="5D11E7D9"/>
    <w:multiLevelType w:val="singleLevel"/>
    <w:tmpl w:val="5D11E7D9"/>
    <w:lvl w:ilvl="0" w:tentative="0">
      <w:start w:val="3"/>
      <w:numFmt w:val="chineseCounting"/>
      <w:suff w:val="nothing"/>
      <w:lvlText w:val="（%1）"/>
      <w:lvlJc w:val="left"/>
      <w:rPr>
        <w:rFonts w:hint="eastAsia"/>
      </w:rPr>
    </w:lvl>
  </w:abstractNum>
  <w:abstractNum w:abstractNumId="17">
    <w:nsid w:val="63DE6620"/>
    <w:multiLevelType w:val="singleLevel"/>
    <w:tmpl w:val="63DE6620"/>
    <w:lvl w:ilvl="0" w:tentative="0">
      <w:start w:val="1"/>
      <w:numFmt w:val="bullet"/>
      <w:lvlText w:val=""/>
      <w:lvlJc w:val="left"/>
      <w:pPr>
        <w:ind w:left="420" w:hanging="420"/>
      </w:pPr>
      <w:rPr>
        <w:rFonts w:hint="default" w:ascii="Wingdings" w:hAnsi="Wingdings"/>
      </w:rPr>
    </w:lvl>
  </w:abstractNum>
  <w:abstractNum w:abstractNumId="18">
    <w:nsid w:val="75C86E1E"/>
    <w:multiLevelType w:val="singleLevel"/>
    <w:tmpl w:val="75C86E1E"/>
    <w:lvl w:ilvl="0" w:tentative="0">
      <w:start w:val="1"/>
      <w:numFmt w:val="bullet"/>
      <w:lvlText w:val=""/>
      <w:lvlJc w:val="left"/>
      <w:pPr>
        <w:ind w:left="420" w:hanging="420"/>
      </w:pPr>
      <w:rPr>
        <w:rFonts w:hint="default" w:ascii="Wingdings" w:hAnsi="Wingdings"/>
      </w:rPr>
    </w:lvl>
  </w:abstractNum>
  <w:abstractNum w:abstractNumId="19">
    <w:nsid w:val="778D9461"/>
    <w:multiLevelType w:val="singleLevel"/>
    <w:tmpl w:val="778D9461"/>
    <w:lvl w:ilvl="0" w:tentative="0">
      <w:start w:val="7"/>
      <w:numFmt w:val="chineseCounting"/>
      <w:suff w:val="nothing"/>
      <w:lvlText w:val="（%1）"/>
      <w:lvlJc w:val="left"/>
      <w:rPr>
        <w:rFonts w:hint="eastAsia"/>
      </w:rPr>
    </w:lvl>
  </w:abstractNum>
  <w:num w:numId="1">
    <w:abstractNumId w:val="12"/>
  </w:num>
  <w:num w:numId="2">
    <w:abstractNumId w:val="17"/>
  </w:num>
  <w:num w:numId="3">
    <w:abstractNumId w:val="16"/>
  </w:num>
  <w:num w:numId="4">
    <w:abstractNumId w:val="3"/>
  </w:num>
  <w:num w:numId="5">
    <w:abstractNumId w:val="2"/>
  </w:num>
  <w:num w:numId="6">
    <w:abstractNumId w:val="5"/>
  </w:num>
  <w:num w:numId="7">
    <w:abstractNumId w:val="11"/>
  </w:num>
  <w:num w:numId="8">
    <w:abstractNumId w:val="1"/>
  </w:num>
  <w:num w:numId="9">
    <w:abstractNumId w:val="13"/>
  </w:num>
  <w:num w:numId="10">
    <w:abstractNumId w:val="15"/>
  </w:num>
  <w:num w:numId="11">
    <w:abstractNumId w:val="10"/>
  </w:num>
  <w:num w:numId="12">
    <w:abstractNumId w:val="18"/>
  </w:num>
  <w:num w:numId="13">
    <w:abstractNumId w:val="0"/>
  </w:num>
  <w:num w:numId="14">
    <w:abstractNumId w:val="19"/>
  </w:num>
  <w:num w:numId="15">
    <w:abstractNumId w:val="9"/>
  </w:num>
  <w:num w:numId="16">
    <w:abstractNumId w:val="4"/>
  </w:num>
  <w:num w:numId="17">
    <w:abstractNumId w:val="8"/>
  </w:num>
  <w:num w:numId="18">
    <w:abstractNumId w:val="14"/>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YwOGM3MzYxYWU3NGUyZGU5NTM0NDI5ZGZiNDhjMDYifQ=="/>
  </w:docVars>
  <w:rsids>
    <w:rsidRoot w:val="00DB07E8"/>
    <w:rsid w:val="00003075"/>
    <w:rsid w:val="00006DD0"/>
    <w:rsid w:val="00011247"/>
    <w:rsid w:val="00015292"/>
    <w:rsid w:val="00022B02"/>
    <w:rsid w:val="00027183"/>
    <w:rsid w:val="00032761"/>
    <w:rsid w:val="000343E6"/>
    <w:rsid w:val="000445E3"/>
    <w:rsid w:val="00046525"/>
    <w:rsid w:val="00052C5A"/>
    <w:rsid w:val="00052D7D"/>
    <w:rsid w:val="00066EBA"/>
    <w:rsid w:val="000802B6"/>
    <w:rsid w:val="00093FE2"/>
    <w:rsid w:val="00096C8F"/>
    <w:rsid w:val="000A533D"/>
    <w:rsid w:val="000A6BD8"/>
    <w:rsid w:val="000B3AEE"/>
    <w:rsid w:val="000C12AA"/>
    <w:rsid w:val="000C1BC7"/>
    <w:rsid w:val="000C4B7A"/>
    <w:rsid w:val="000D2B5A"/>
    <w:rsid w:val="000D6910"/>
    <w:rsid w:val="000F2D7E"/>
    <w:rsid w:val="00102723"/>
    <w:rsid w:val="00102DAB"/>
    <w:rsid w:val="001110BD"/>
    <w:rsid w:val="0012041F"/>
    <w:rsid w:val="0012070D"/>
    <w:rsid w:val="00160B69"/>
    <w:rsid w:val="00164571"/>
    <w:rsid w:val="00165709"/>
    <w:rsid w:val="00180B6B"/>
    <w:rsid w:val="00181871"/>
    <w:rsid w:val="001851F3"/>
    <w:rsid w:val="00190178"/>
    <w:rsid w:val="00190A5B"/>
    <w:rsid w:val="00192DD0"/>
    <w:rsid w:val="001A1A84"/>
    <w:rsid w:val="001A4AC4"/>
    <w:rsid w:val="001A5C34"/>
    <w:rsid w:val="001B0CB1"/>
    <w:rsid w:val="001C077D"/>
    <w:rsid w:val="001C15CA"/>
    <w:rsid w:val="001C266B"/>
    <w:rsid w:val="001C7210"/>
    <w:rsid w:val="001D1076"/>
    <w:rsid w:val="001D355E"/>
    <w:rsid w:val="001E65EB"/>
    <w:rsid w:val="00207961"/>
    <w:rsid w:val="002140B0"/>
    <w:rsid w:val="00227882"/>
    <w:rsid w:val="0024240C"/>
    <w:rsid w:val="0025006E"/>
    <w:rsid w:val="002513FE"/>
    <w:rsid w:val="00260115"/>
    <w:rsid w:val="00260780"/>
    <w:rsid w:val="002615B9"/>
    <w:rsid w:val="00266E94"/>
    <w:rsid w:val="002724C8"/>
    <w:rsid w:val="00273271"/>
    <w:rsid w:val="0027560B"/>
    <w:rsid w:val="002A1F0A"/>
    <w:rsid w:val="002B6690"/>
    <w:rsid w:val="002C2FEA"/>
    <w:rsid w:val="002D13EE"/>
    <w:rsid w:val="002D33AA"/>
    <w:rsid w:val="002F20FB"/>
    <w:rsid w:val="002F4C22"/>
    <w:rsid w:val="00302538"/>
    <w:rsid w:val="00307910"/>
    <w:rsid w:val="003258BC"/>
    <w:rsid w:val="00331DA4"/>
    <w:rsid w:val="003429BC"/>
    <w:rsid w:val="00342DF3"/>
    <w:rsid w:val="00353C2D"/>
    <w:rsid w:val="003558DE"/>
    <w:rsid w:val="00393120"/>
    <w:rsid w:val="003961D1"/>
    <w:rsid w:val="003B44D6"/>
    <w:rsid w:val="003D1AB3"/>
    <w:rsid w:val="003D7546"/>
    <w:rsid w:val="003F1D26"/>
    <w:rsid w:val="003F78C9"/>
    <w:rsid w:val="00400D0D"/>
    <w:rsid w:val="004021EA"/>
    <w:rsid w:val="00402EBD"/>
    <w:rsid w:val="004055DA"/>
    <w:rsid w:val="00406981"/>
    <w:rsid w:val="00411A6C"/>
    <w:rsid w:val="004134C0"/>
    <w:rsid w:val="00434393"/>
    <w:rsid w:val="00437FC8"/>
    <w:rsid w:val="00442BAC"/>
    <w:rsid w:val="004528B0"/>
    <w:rsid w:val="00473858"/>
    <w:rsid w:val="004807DA"/>
    <w:rsid w:val="0048097C"/>
    <w:rsid w:val="004869BE"/>
    <w:rsid w:val="004929E5"/>
    <w:rsid w:val="004A0671"/>
    <w:rsid w:val="004B0C16"/>
    <w:rsid w:val="004B289F"/>
    <w:rsid w:val="004B347E"/>
    <w:rsid w:val="004C3410"/>
    <w:rsid w:val="004E0B04"/>
    <w:rsid w:val="004E1D5B"/>
    <w:rsid w:val="004F4BB6"/>
    <w:rsid w:val="004F5C1F"/>
    <w:rsid w:val="004F635C"/>
    <w:rsid w:val="005005F1"/>
    <w:rsid w:val="00511AE7"/>
    <w:rsid w:val="00517C61"/>
    <w:rsid w:val="00523B1E"/>
    <w:rsid w:val="0053063F"/>
    <w:rsid w:val="00537E2A"/>
    <w:rsid w:val="00560B5E"/>
    <w:rsid w:val="0056201B"/>
    <w:rsid w:val="0057413C"/>
    <w:rsid w:val="0057424E"/>
    <w:rsid w:val="005763E8"/>
    <w:rsid w:val="00584F4F"/>
    <w:rsid w:val="00586AB9"/>
    <w:rsid w:val="005A4980"/>
    <w:rsid w:val="005A6499"/>
    <w:rsid w:val="005A76F9"/>
    <w:rsid w:val="005B414B"/>
    <w:rsid w:val="005B4982"/>
    <w:rsid w:val="005B6E3D"/>
    <w:rsid w:val="005C19F6"/>
    <w:rsid w:val="005E172A"/>
    <w:rsid w:val="005E5953"/>
    <w:rsid w:val="00617E5F"/>
    <w:rsid w:val="006273D3"/>
    <w:rsid w:val="00632765"/>
    <w:rsid w:val="00637052"/>
    <w:rsid w:val="00637248"/>
    <w:rsid w:val="00644BA6"/>
    <w:rsid w:val="00660356"/>
    <w:rsid w:val="006661F2"/>
    <w:rsid w:val="0067012B"/>
    <w:rsid w:val="00670FF1"/>
    <w:rsid w:val="0067117E"/>
    <w:rsid w:val="0068619D"/>
    <w:rsid w:val="00690DC8"/>
    <w:rsid w:val="00693FBC"/>
    <w:rsid w:val="00696024"/>
    <w:rsid w:val="006A035B"/>
    <w:rsid w:val="006A47E6"/>
    <w:rsid w:val="006B7183"/>
    <w:rsid w:val="006D5A91"/>
    <w:rsid w:val="006D6C30"/>
    <w:rsid w:val="006F1350"/>
    <w:rsid w:val="006F1568"/>
    <w:rsid w:val="006F3097"/>
    <w:rsid w:val="006F60E6"/>
    <w:rsid w:val="006F7228"/>
    <w:rsid w:val="0070194E"/>
    <w:rsid w:val="00730E90"/>
    <w:rsid w:val="00734DB9"/>
    <w:rsid w:val="00737B39"/>
    <w:rsid w:val="007752FD"/>
    <w:rsid w:val="00776D90"/>
    <w:rsid w:val="00777E5E"/>
    <w:rsid w:val="0078269F"/>
    <w:rsid w:val="007854A6"/>
    <w:rsid w:val="00786CA3"/>
    <w:rsid w:val="007A22E5"/>
    <w:rsid w:val="007B3C77"/>
    <w:rsid w:val="007B4ACF"/>
    <w:rsid w:val="007D2727"/>
    <w:rsid w:val="007D31B0"/>
    <w:rsid w:val="007D6E22"/>
    <w:rsid w:val="007E33C5"/>
    <w:rsid w:val="007F5947"/>
    <w:rsid w:val="00803474"/>
    <w:rsid w:val="00813D3D"/>
    <w:rsid w:val="008202A0"/>
    <w:rsid w:val="00826D8B"/>
    <w:rsid w:val="0083320F"/>
    <w:rsid w:val="00837A74"/>
    <w:rsid w:val="00840239"/>
    <w:rsid w:val="008433C1"/>
    <w:rsid w:val="00845731"/>
    <w:rsid w:val="00847F89"/>
    <w:rsid w:val="00850F07"/>
    <w:rsid w:val="00851D4F"/>
    <w:rsid w:val="008612EB"/>
    <w:rsid w:val="00865C3E"/>
    <w:rsid w:val="008768A1"/>
    <w:rsid w:val="00877E76"/>
    <w:rsid w:val="0089041C"/>
    <w:rsid w:val="00890CB9"/>
    <w:rsid w:val="008929D9"/>
    <w:rsid w:val="008A2E78"/>
    <w:rsid w:val="008B1182"/>
    <w:rsid w:val="008D4AB2"/>
    <w:rsid w:val="008E31E6"/>
    <w:rsid w:val="008E6A34"/>
    <w:rsid w:val="008F5DA0"/>
    <w:rsid w:val="00910A6F"/>
    <w:rsid w:val="009135DE"/>
    <w:rsid w:val="00916716"/>
    <w:rsid w:val="00917F4E"/>
    <w:rsid w:val="0092308C"/>
    <w:rsid w:val="00925A56"/>
    <w:rsid w:val="00934E6B"/>
    <w:rsid w:val="009360E7"/>
    <w:rsid w:val="009371C0"/>
    <w:rsid w:val="009448D0"/>
    <w:rsid w:val="00944F33"/>
    <w:rsid w:val="00963CC4"/>
    <w:rsid w:val="0096428C"/>
    <w:rsid w:val="00966943"/>
    <w:rsid w:val="00984B38"/>
    <w:rsid w:val="009924AC"/>
    <w:rsid w:val="009A4ECE"/>
    <w:rsid w:val="009A6160"/>
    <w:rsid w:val="009A6CF8"/>
    <w:rsid w:val="009C7F81"/>
    <w:rsid w:val="009D06F5"/>
    <w:rsid w:val="009D730F"/>
    <w:rsid w:val="009E1D30"/>
    <w:rsid w:val="009E1DC2"/>
    <w:rsid w:val="00A03637"/>
    <w:rsid w:val="00A05442"/>
    <w:rsid w:val="00A44297"/>
    <w:rsid w:val="00A45FE8"/>
    <w:rsid w:val="00A4645E"/>
    <w:rsid w:val="00A5046C"/>
    <w:rsid w:val="00A5624C"/>
    <w:rsid w:val="00A74AF0"/>
    <w:rsid w:val="00A74F6B"/>
    <w:rsid w:val="00A752A8"/>
    <w:rsid w:val="00A8763F"/>
    <w:rsid w:val="00A91269"/>
    <w:rsid w:val="00AB1286"/>
    <w:rsid w:val="00AB6E79"/>
    <w:rsid w:val="00AD4001"/>
    <w:rsid w:val="00AE7542"/>
    <w:rsid w:val="00B00BD5"/>
    <w:rsid w:val="00B1232B"/>
    <w:rsid w:val="00B36F51"/>
    <w:rsid w:val="00B37104"/>
    <w:rsid w:val="00B54C42"/>
    <w:rsid w:val="00B56B3D"/>
    <w:rsid w:val="00B61204"/>
    <w:rsid w:val="00B740A9"/>
    <w:rsid w:val="00B82AF8"/>
    <w:rsid w:val="00BA1993"/>
    <w:rsid w:val="00BA2CD1"/>
    <w:rsid w:val="00BA5EEB"/>
    <w:rsid w:val="00BA65E8"/>
    <w:rsid w:val="00BB345B"/>
    <w:rsid w:val="00BB721F"/>
    <w:rsid w:val="00BC40C5"/>
    <w:rsid w:val="00BD3107"/>
    <w:rsid w:val="00BD4E1D"/>
    <w:rsid w:val="00BD7E48"/>
    <w:rsid w:val="00BF6BF0"/>
    <w:rsid w:val="00C03C0A"/>
    <w:rsid w:val="00C30835"/>
    <w:rsid w:val="00C3473D"/>
    <w:rsid w:val="00C40F36"/>
    <w:rsid w:val="00C5462F"/>
    <w:rsid w:val="00C5489D"/>
    <w:rsid w:val="00C57364"/>
    <w:rsid w:val="00C706E3"/>
    <w:rsid w:val="00C77244"/>
    <w:rsid w:val="00C83880"/>
    <w:rsid w:val="00CA6019"/>
    <w:rsid w:val="00CD5CCD"/>
    <w:rsid w:val="00CD6284"/>
    <w:rsid w:val="00CD72A6"/>
    <w:rsid w:val="00CD7AF1"/>
    <w:rsid w:val="00CE0CF5"/>
    <w:rsid w:val="00CF2F73"/>
    <w:rsid w:val="00D2096C"/>
    <w:rsid w:val="00D2098F"/>
    <w:rsid w:val="00D2272C"/>
    <w:rsid w:val="00D252F2"/>
    <w:rsid w:val="00D4428E"/>
    <w:rsid w:val="00D74D73"/>
    <w:rsid w:val="00D77810"/>
    <w:rsid w:val="00D836D0"/>
    <w:rsid w:val="00D84B32"/>
    <w:rsid w:val="00D8696D"/>
    <w:rsid w:val="00D91DE0"/>
    <w:rsid w:val="00D92A93"/>
    <w:rsid w:val="00DA5616"/>
    <w:rsid w:val="00DB07E8"/>
    <w:rsid w:val="00DC444E"/>
    <w:rsid w:val="00DD13D2"/>
    <w:rsid w:val="00DD3DF9"/>
    <w:rsid w:val="00DD491E"/>
    <w:rsid w:val="00E01AE9"/>
    <w:rsid w:val="00E04817"/>
    <w:rsid w:val="00E12DCA"/>
    <w:rsid w:val="00E37B79"/>
    <w:rsid w:val="00E44BAC"/>
    <w:rsid w:val="00E55670"/>
    <w:rsid w:val="00E56C53"/>
    <w:rsid w:val="00E62929"/>
    <w:rsid w:val="00E637DE"/>
    <w:rsid w:val="00E7147B"/>
    <w:rsid w:val="00E77DAA"/>
    <w:rsid w:val="00E80A87"/>
    <w:rsid w:val="00E81A6C"/>
    <w:rsid w:val="00E81F7C"/>
    <w:rsid w:val="00E86EB6"/>
    <w:rsid w:val="00EA0966"/>
    <w:rsid w:val="00EC0FC2"/>
    <w:rsid w:val="00EC234B"/>
    <w:rsid w:val="00ED31D8"/>
    <w:rsid w:val="00ED4B31"/>
    <w:rsid w:val="00ED5276"/>
    <w:rsid w:val="00EE107A"/>
    <w:rsid w:val="00EE109E"/>
    <w:rsid w:val="00EE393F"/>
    <w:rsid w:val="00EE54A0"/>
    <w:rsid w:val="00EF753A"/>
    <w:rsid w:val="00EF7A68"/>
    <w:rsid w:val="00F07820"/>
    <w:rsid w:val="00F35D91"/>
    <w:rsid w:val="00F4606A"/>
    <w:rsid w:val="00F503FE"/>
    <w:rsid w:val="00F5671F"/>
    <w:rsid w:val="00F57DAF"/>
    <w:rsid w:val="00F61BBB"/>
    <w:rsid w:val="00F802C7"/>
    <w:rsid w:val="00F943D7"/>
    <w:rsid w:val="00FB0F32"/>
    <w:rsid w:val="00FC2A6E"/>
    <w:rsid w:val="00FC6922"/>
    <w:rsid w:val="00FD186D"/>
    <w:rsid w:val="00FD64DD"/>
    <w:rsid w:val="00FE1258"/>
    <w:rsid w:val="00FF0070"/>
    <w:rsid w:val="00FF51B8"/>
    <w:rsid w:val="01FE30A1"/>
    <w:rsid w:val="025D6FBE"/>
    <w:rsid w:val="035173DB"/>
    <w:rsid w:val="044A1613"/>
    <w:rsid w:val="0661552A"/>
    <w:rsid w:val="08AB14CD"/>
    <w:rsid w:val="09A46AFB"/>
    <w:rsid w:val="0AD97016"/>
    <w:rsid w:val="0D1B192B"/>
    <w:rsid w:val="0FFD0517"/>
    <w:rsid w:val="11E67E97"/>
    <w:rsid w:val="13860560"/>
    <w:rsid w:val="14CF23FD"/>
    <w:rsid w:val="14EC79B3"/>
    <w:rsid w:val="15973F46"/>
    <w:rsid w:val="16C27AF6"/>
    <w:rsid w:val="177156D9"/>
    <w:rsid w:val="17DF6807"/>
    <w:rsid w:val="19FB4B20"/>
    <w:rsid w:val="1AB11972"/>
    <w:rsid w:val="1C7D2A8F"/>
    <w:rsid w:val="1CE912A0"/>
    <w:rsid w:val="1D1A4127"/>
    <w:rsid w:val="1F8B7B1A"/>
    <w:rsid w:val="23531B69"/>
    <w:rsid w:val="248942A7"/>
    <w:rsid w:val="24D50CF1"/>
    <w:rsid w:val="25403747"/>
    <w:rsid w:val="257A32B4"/>
    <w:rsid w:val="258E6E89"/>
    <w:rsid w:val="2898663D"/>
    <w:rsid w:val="2A0D3455"/>
    <w:rsid w:val="2AC64397"/>
    <w:rsid w:val="2AF13087"/>
    <w:rsid w:val="2C017145"/>
    <w:rsid w:val="2C6D5877"/>
    <w:rsid w:val="2E201B5D"/>
    <w:rsid w:val="2E3B2CCD"/>
    <w:rsid w:val="2EAA0E2A"/>
    <w:rsid w:val="30211FEF"/>
    <w:rsid w:val="33E31C80"/>
    <w:rsid w:val="34AE542D"/>
    <w:rsid w:val="37A523E0"/>
    <w:rsid w:val="380825B0"/>
    <w:rsid w:val="392643E6"/>
    <w:rsid w:val="3B405838"/>
    <w:rsid w:val="3C277CAD"/>
    <w:rsid w:val="3DC00A92"/>
    <w:rsid w:val="3DD90DB4"/>
    <w:rsid w:val="3FB07236"/>
    <w:rsid w:val="421518AC"/>
    <w:rsid w:val="42E224B9"/>
    <w:rsid w:val="43FB582E"/>
    <w:rsid w:val="444730EB"/>
    <w:rsid w:val="453C0985"/>
    <w:rsid w:val="4A96248D"/>
    <w:rsid w:val="4BB82F57"/>
    <w:rsid w:val="4F782168"/>
    <w:rsid w:val="4FE40227"/>
    <w:rsid w:val="4FFA308B"/>
    <w:rsid w:val="50425760"/>
    <w:rsid w:val="515F2846"/>
    <w:rsid w:val="51E03FCB"/>
    <w:rsid w:val="52FD5AD2"/>
    <w:rsid w:val="531864F7"/>
    <w:rsid w:val="55464580"/>
    <w:rsid w:val="55D17351"/>
    <w:rsid w:val="565635AF"/>
    <w:rsid w:val="57260EF5"/>
    <w:rsid w:val="5C1D4825"/>
    <w:rsid w:val="5D2A0547"/>
    <w:rsid w:val="5EEC3727"/>
    <w:rsid w:val="5F906D7E"/>
    <w:rsid w:val="5FB87B84"/>
    <w:rsid w:val="60231D80"/>
    <w:rsid w:val="62757683"/>
    <w:rsid w:val="63293635"/>
    <w:rsid w:val="63C03735"/>
    <w:rsid w:val="64023FD6"/>
    <w:rsid w:val="64131F88"/>
    <w:rsid w:val="64164D1D"/>
    <w:rsid w:val="64D23D14"/>
    <w:rsid w:val="67432C36"/>
    <w:rsid w:val="6CE91FCF"/>
    <w:rsid w:val="6EFFDCC9"/>
    <w:rsid w:val="709B7E5F"/>
    <w:rsid w:val="711B3A27"/>
    <w:rsid w:val="7395766C"/>
    <w:rsid w:val="75353EAD"/>
    <w:rsid w:val="753A5544"/>
    <w:rsid w:val="767D488B"/>
    <w:rsid w:val="781D6B15"/>
    <w:rsid w:val="7E316E1E"/>
    <w:rsid w:val="AFD5422D"/>
    <w:rsid w:val="F8F39292"/>
    <w:rsid w:val="FF4D8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firstLineChars="200"/>
    </w:pPr>
    <w:rPr>
      <w:rFonts w:eastAsia="宋体"/>
      <w:kern w:val="0"/>
      <w:sz w:val="20"/>
    </w:rPr>
  </w:style>
  <w:style w:type="paragraph" w:styleId="5">
    <w:name w:val="toc 3"/>
    <w:basedOn w:val="1"/>
    <w:next w:val="1"/>
    <w:semiHidden/>
    <w:unhideWhenUsed/>
    <w:uiPriority w:val="39"/>
    <w:pPr>
      <w:ind w:left="840" w:leftChars="400"/>
    </w:pPr>
  </w:style>
  <w:style w:type="paragraph" w:styleId="6">
    <w:name w:val="Balloon Text"/>
    <w:basedOn w:val="1"/>
    <w:link w:val="18"/>
    <w:semiHidden/>
    <w:unhideWhenUsed/>
    <w:qFormat/>
    <w:uiPriority w:val="99"/>
    <w:rPr>
      <w:sz w:val="18"/>
      <w:szCs w:val="18"/>
    </w:rPr>
  </w:style>
  <w:style w:type="paragraph" w:styleId="7">
    <w:name w:val="toc 1"/>
    <w:basedOn w:val="1"/>
    <w:next w:val="1"/>
    <w:semiHidden/>
    <w:unhideWhenUsed/>
    <w:uiPriority w:val="39"/>
  </w:style>
  <w:style w:type="paragraph" w:styleId="8">
    <w:name w:val="toc 2"/>
    <w:basedOn w:val="1"/>
    <w:next w:val="1"/>
    <w:semiHidden/>
    <w:unhideWhenUsed/>
    <w:uiPriority w:val="39"/>
    <w:pPr>
      <w:ind w:left="420" w:leftChars="200"/>
    </w:pPr>
  </w:style>
  <w:style w:type="paragraph" w:styleId="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rPr>
  </w:style>
  <w:style w:type="paragraph" w:customStyle="1" w:styleId="14">
    <w:name w:val="标题二"/>
    <w:basedOn w:val="15"/>
    <w:qFormat/>
    <w:uiPriority w:val="0"/>
    <w:pPr>
      <w:numPr>
        <w:ilvl w:val="0"/>
        <w:numId w:val="1"/>
      </w:numPr>
      <w:ind w:firstLine="0" w:firstLineChars="0"/>
    </w:pPr>
    <w:rPr>
      <w:bCs/>
      <w:sz w:val="30"/>
      <w:szCs w:val="30"/>
    </w:rPr>
  </w:style>
  <w:style w:type="paragraph" w:customStyle="1" w:styleId="15">
    <w:name w:val="中等深浅网格 1 - 强调文字颜色 21"/>
    <w:basedOn w:val="1"/>
    <w:qFormat/>
    <w:uiPriority w:val="72"/>
    <w:pPr>
      <w:ind w:firstLine="420" w:firstLineChars="200"/>
    </w:pPr>
  </w:style>
  <w:style w:type="paragraph" w:customStyle="1" w:styleId="16">
    <w:name w:val="正文1"/>
    <w:basedOn w:val="17"/>
    <w:qFormat/>
    <w:uiPriority w:val="0"/>
    <w:pPr>
      <w:ind w:left="142" w:firstLine="423" w:firstLineChars="141"/>
      <w:jc w:val="left"/>
    </w:pPr>
    <w:rPr>
      <w:rFonts w:ascii="仿宋" w:hAnsi="仿宋" w:eastAsia="仿宋"/>
      <w:bCs/>
      <w:sz w:val="30"/>
      <w:szCs w:val="30"/>
    </w:rPr>
  </w:style>
  <w:style w:type="paragraph" w:styleId="17">
    <w:name w:val="List Paragraph"/>
    <w:basedOn w:val="1"/>
    <w:qFormat/>
    <w:uiPriority w:val="34"/>
    <w:pPr>
      <w:ind w:firstLine="420" w:firstLineChars="200"/>
    </w:pPr>
  </w:style>
  <w:style w:type="character" w:customStyle="1" w:styleId="18">
    <w:name w:val="批注框文本 Char"/>
    <w:basedOn w:val="12"/>
    <w:link w:val="6"/>
    <w:semiHidden/>
    <w:qFormat/>
    <w:uiPriority w:val="99"/>
    <w:rPr>
      <w:rFonts w:eastAsia="仿宋_GB2312"/>
      <w:kern w:val="2"/>
      <w:sz w:val="18"/>
      <w:szCs w:val="18"/>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53</Pages>
  <Words>4983</Words>
  <Characters>5403</Characters>
  <Lines>3</Lines>
  <Paragraphs>1</Paragraphs>
  <TotalTime>6</TotalTime>
  <ScaleCrop>false</ScaleCrop>
  <LinksUpToDate>false</LinksUpToDate>
  <CharactersWithSpaces>5656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2021-08-10T11:22:00Z</dcterms:created>
  <dc:creator>王国川</dc:creator>
  <cp:lastModifiedBy>彼岸花</cp:lastModifiedBy>
  <dcterms:modified xsi:type="dcterms:W3CDTF">2025-07-04T13:15:35Z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E62217C0FD894E90B87C1779E172087D</vt:lpwstr>
  </property>
  <property fmtid="{D5CDD505-2E9C-101B-9397-08002B2CF9AE}" pid="4" name="KSOTemplateDocerSaveRecord">
    <vt:lpwstr>eyJoZGlkIjoiYjYwOGM3MzYxYWU3NGUyZGU5NTM0NDI5ZGZiNDhjMDYiLCJ1c2VySWQiOiIzNzY4MTE3NTkifQ==</vt:lpwstr>
  </property>
</Properties>
</file>