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74C96F">
      <w:pPr>
        <w:spacing w:line="288" w:lineRule="auto"/>
        <w:rPr>
          <w:rFonts w:hint="default" w:ascii="仿宋" w:hAnsi="仿宋" w:eastAsia="仿宋" w:cs="微软雅黑"/>
          <w:sz w:val="28"/>
          <w:szCs w:val="28"/>
          <w:lang w:val="en-US" w:eastAsia="zh-CN"/>
        </w:rPr>
      </w:pPr>
      <w:r>
        <w:rPr>
          <w:rFonts w:hint="eastAsia" w:ascii="仿宋" w:hAnsi="仿宋" w:eastAsia="仿宋" w:cs="微软雅黑"/>
          <w:sz w:val="28"/>
          <w:szCs w:val="28"/>
        </w:rPr>
        <w:t>附件</w:t>
      </w:r>
      <w:r>
        <w:rPr>
          <w:rFonts w:hint="eastAsia" w:ascii="仿宋" w:hAnsi="仿宋" w:eastAsia="仿宋" w:cs="微软雅黑"/>
          <w:sz w:val="28"/>
          <w:szCs w:val="28"/>
          <w:lang w:val="en-US" w:eastAsia="zh-CN"/>
        </w:rPr>
        <w:t>2.1.4</w:t>
      </w:r>
    </w:p>
    <w:p w14:paraId="43033C84">
      <w:pPr>
        <w:spacing w:line="288" w:lineRule="auto"/>
        <w:jc w:val="center"/>
        <w:rPr>
          <w:rFonts w:hint="eastAsia" w:ascii="微软雅黑" w:hAnsi="仿宋" w:eastAsia="微软雅黑"/>
          <w:szCs w:val="32"/>
        </w:rPr>
      </w:pPr>
      <w:r>
        <w:rPr>
          <w:rFonts w:hint="eastAsia" w:ascii="微软雅黑" w:hAnsi="仿宋" w:eastAsia="微软雅黑" w:cs="微软雅黑"/>
          <w:szCs w:val="32"/>
          <w:lang w:val="en-US" w:eastAsia="zh-CN"/>
        </w:rPr>
        <w:t>国际经济与贸易</w:t>
      </w:r>
      <w:r>
        <w:rPr>
          <w:rFonts w:hint="eastAsia" w:ascii="微软雅黑" w:hAnsi="仿宋" w:eastAsia="微软雅黑" w:cs="微软雅黑"/>
          <w:szCs w:val="32"/>
        </w:rPr>
        <w:t>专业人才培养</w:t>
      </w:r>
      <w:r>
        <w:rPr>
          <w:rFonts w:hint="eastAsia" w:ascii="微软雅黑" w:hAnsi="仿宋" w:eastAsia="微软雅黑"/>
          <w:szCs w:val="32"/>
        </w:rPr>
        <w:t>调研报告</w:t>
      </w:r>
    </w:p>
    <w:p w14:paraId="5EE7AF7E">
      <w:pPr>
        <w:pStyle w:val="4"/>
        <w:rPr>
          <w:rFonts w:hint="default" w:eastAsia="微软雅黑"/>
          <w:lang w:val="en-US" w:eastAsia="zh-CN"/>
        </w:rPr>
      </w:pPr>
      <w:r>
        <w:rPr>
          <w:rFonts w:hint="eastAsia" w:ascii="微软雅黑" w:hAnsi="仿宋" w:eastAsia="微软雅黑"/>
          <w:szCs w:val="32"/>
          <w:lang w:val="en-US" w:eastAsia="zh-CN"/>
        </w:rPr>
        <w:t xml:space="preserve">                             （2025版）</w:t>
      </w:r>
    </w:p>
    <w:p w14:paraId="208FF3A2">
      <w:pPr>
        <w:ind w:firstLine="480" w:firstLineChars="150"/>
        <w:rPr>
          <w:rFonts w:hint="eastAsia" w:ascii="仿宋" w:hAnsi="仿宋" w:eastAsia="仿宋"/>
          <w:szCs w:val="32"/>
        </w:rPr>
      </w:pPr>
      <w:r>
        <w:rPr>
          <w:rFonts w:hint="eastAsia" w:ascii="仿宋" w:hAnsi="仿宋" w:eastAsia="仿宋"/>
          <w:szCs w:val="32"/>
        </w:rPr>
        <w:t>为贯彻落实《教育强国建设规划纲要（2024－2035年）》和《职业教育专业教学标准》</w:t>
      </w:r>
      <w:r>
        <w:rPr>
          <w:rFonts w:hint="eastAsia" w:ascii="仿宋" w:hAnsi="仿宋" w:eastAsia="仿宋"/>
          <w:szCs w:val="32"/>
          <w:lang w:eastAsia="zh-CN"/>
        </w:rPr>
        <w:t>（</w:t>
      </w:r>
      <w:r>
        <w:rPr>
          <w:rFonts w:hint="eastAsia" w:ascii="仿宋" w:hAnsi="仿宋" w:eastAsia="仿宋"/>
          <w:szCs w:val="32"/>
          <w:lang w:val="en-US" w:eastAsia="zh-CN"/>
        </w:rPr>
        <w:t>2025</w:t>
      </w:r>
      <w:r>
        <w:rPr>
          <w:rFonts w:hint="eastAsia" w:ascii="仿宋" w:hAnsi="仿宋" w:eastAsia="仿宋"/>
          <w:szCs w:val="32"/>
          <w:lang w:eastAsia="zh-CN"/>
        </w:rPr>
        <w:t>）</w:t>
      </w:r>
      <w:r>
        <w:rPr>
          <w:rFonts w:hint="eastAsia" w:ascii="仿宋" w:hAnsi="仿宋" w:eastAsia="仿宋"/>
          <w:szCs w:val="32"/>
        </w:rPr>
        <w:t>等文件精神，深化职业教育供给侧结构性改革，构建符合职业本科教育定位的国际经济与贸易专业人才培养体系，</w:t>
      </w:r>
      <w:r>
        <w:rPr>
          <w:rFonts w:hint="eastAsia" w:ascii="仿宋" w:hAnsi="仿宋" w:eastAsia="仿宋"/>
          <w:szCs w:val="32"/>
          <w:lang w:val="en-US" w:eastAsia="zh-CN"/>
        </w:rPr>
        <w:t>国贸专业团队</w:t>
      </w:r>
      <w:r>
        <w:rPr>
          <w:rFonts w:hint="eastAsia" w:ascii="仿宋" w:hAnsi="仿宋" w:eastAsia="仿宋"/>
          <w:szCs w:val="32"/>
        </w:rPr>
        <w:t>围绕</w:t>
      </w:r>
      <w:r>
        <w:rPr>
          <w:rFonts w:hint="eastAsia" w:ascii="仿宋" w:hAnsi="仿宋" w:eastAsia="仿宋"/>
          <w:szCs w:val="32"/>
          <w:lang w:val="en-US" w:eastAsia="zh-CN"/>
        </w:rPr>
        <w:t>行业产业发展供需情况、专业人才培养适应性情况和同行专业人才培养方案编制情况</w:t>
      </w:r>
      <w:r>
        <w:rPr>
          <w:rFonts w:hint="eastAsia" w:ascii="仿宋" w:hAnsi="仿宋" w:eastAsia="仿宋"/>
          <w:szCs w:val="32"/>
        </w:rPr>
        <w:t>展开</w:t>
      </w:r>
      <w:r>
        <w:rPr>
          <w:rFonts w:hint="eastAsia" w:ascii="仿宋" w:hAnsi="仿宋" w:eastAsia="仿宋"/>
          <w:szCs w:val="32"/>
          <w:lang w:eastAsia="zh-CN"/>
        </w:rPr>
        <w:t>了</w:t>
      </w:r>
      <w:r>
        <w:rPr>
          <w:rFonts w:hint="eastAsia" w:ascii="仿宋" w:hAnsi="仿宋" w:eastAsia="仿宋"/>
          <w:szCs w:val="32"/>
          <w:lang w:val="en-US" w:eastAsia="zh-CN"/>
        </w:rPr>
        <w:t>深入调研</w:t>
      </w:r>
      <w:r>
        <w:rPr>
          <w:rFonts w:hint="eastAsia" w:ascii="仿宋" w:hAnsi="仿宋" w:eastAsia="仿宋"/>
          <w:szCs w:val="32"/>
        </w:rPr>
        <w:t>。本次调研采用问卷调查</w:t>
      </w:r>
      <w:r>
        <w:rPr>
          <w:rFonts w:hint="eastAsia" w:ascii="仿宋" w:hAnsi="仿宋" w:eastAsia="仿宋"/>
          <w:szCs w:val="32"/>
          <w:lang w:eastAsia="zh-CN"/>
        </w:rPr>
        <w:t>、</w:t>
      </w:r>
      <w:r>
        <w:rPr>
          <w:rFonts w:hint="eastAsia" w:ascii="仿宋" w:hAnsi="仿宋" w:eastAsia="仿宋"/>
          <w:szCs w:val="32"/>
        </w:rPr>
        <w:t>网络查询</w:t>
      </w:r>
      <w:r>
        <w:rPr>
          <w:rFonts w:hint="eastAsia" w:ascii="仿宋" w:hAnsi="仿宋" w:eastAsia="仿宋"/>
          <w:szCs w:val="32"/>
          <w:lang w:eastAsia="zh-CN"/>
        </w:rPr>
        <w:t>、</w:t>
      </w:r>
      <w:r>
        <w:rPr>
          <w:rFonts w:hint="eastAsia" w:ascii="仿宋" w:hAnsi="仿宋" w:eastAsia="仿宋"/>
          <w:szCs w:val="32"/>
        </w:rPr>
        <w:t>查阅文献</w:t>
      </w:r>
      <w:r>
        <w:rPr>
          <w:rFonts w:hint="eastAsia" w:ascii="仿宋" w:hAnsi="仿宋" w:eastAsia="仿宋"/>
          <w:szCs w:val="32"/>
          <w:lang w:eastAsia="zh-CN"/>
        </w:rPr>
        <w:t>、</w:t>
      </w:r>
      <w:r>
        <w:rPr>
          <w:rFonts w:hint="eastAsia" w:ascii="仿宋" w:hAnsi="仿宋" w:eastAsia="仿宋"/>
          <w:szCs w:val="32"/>
        </w:rPr>
        <w:t>调研访谈</w:t>
      </w:r>
      <w:r>
        <w:rPr>
          <w:rFonts w:hint="eastAsia" w:ascii="仿宋" w:hAnsi="仿宋" w:eastAsia="仿宋"/>
          <w:szCs w:val="32"/>
          <w:lang w:eastAsia="zh-CN"/>
        </w:rPr>
        <w:t>、</w:t>
      </w:r>
      <w:r>
        <w:rPr>
          <w:rFonts w:hint="eastAsia" w:ascii="仿宋" w:hAnsi="仿宋" w:eastAsia="仿宋"/>
          <w:szCs w:val="32"/>
        </w:rPr>
        <w:t>参观考察等多种方式，调研时间跨度为202</w:t>
      </w:r>
      <w:r>
        <w:rPr>
          <w:rFonts w:hint="eastAsia" w:ascii="仿宋" w:hAnsi="仿宋" w:eastAsia="仿宋"/>
          <w:szCs w:val="32"/>
          <w:lang w:val="en-US" w:eastAsia="zh-CN"/>
        </w:rPr>
        <w:t>5</w:t>
      </w:r>
      <w:r>
        <w:rPr>
          <w:rFonts w:hint="eastAsia" w:ascii="仿宋" w:hAnsi="仿宋" w:eastAsia="仿宋"/>
          <w:szCs w:val="32"/>
        </w:rPr>
        <w:t>年</w:t>
      </w:r>
      <w:r>
        <w:rPr>
          <w:rFonts w:hint="eastAsia" w:ascii="仿宋" w:hAnsi="仿宋" w:eastAsia="仿宋"/>
          <w:szCs w:val="32"/>
          <w:lang w:val="en-US" w:eastAsia="zh-CN"/>
        </w:rPr>
        <w:t>4</w:t>
      </w:r>
      <w:r>
        <w:rPr>
          <w:rFonts w:hint="eastAsia" w:ascii="仿宋" w:hAnsi="仿宋" w:eastAsia="仿宋"/>
          <w:szCs w:val="32"/>
        </w:rPr>
        <w:t>月至202</w:t>
      </w:r>
      <w:r>
        <w:rPr>
          <w:rFonts w:hint="eastAsia" w:ascii="仿宋" w:hAnsi="仿宋" w:eastAsia="仿宋"/>
          <w:szCs w:val="32"/>
          <w:lang w:val="en-US" w:eastAsia="zh-CN"/>
        </w:rPr>
        <w:t>5</w:t>
      </w:r>
      <w:r>
        <w:rPr>
          <w:rFonts w:hint="eastAsia" w:ascii="仿宋" w:hAnsi="仿宋" w:eastAsia="仿宋"/>
          <w:szCs w:val="32"/>
        </w:rPr>
        <w:t>年</w:t>
      </w:r>
      <w:r>
        <w:rPr>
          <w:rFonts w:hint="eastAsia" w:ascii="仿宋" w:hAnsi="仿宋" w:eastAsia="仿宋"/>
          <w:szCs w:val="32"/>
          <w:lang w:val="en-US" w:eastAsia="zh-CN"/>
        </w:rPr>
        <w:t>6</w:t>
      </w:r>
      <w:r>
        <w:rPr>
          <w:rFonts w:hint="eastAsia" w:ascii="仿宋" w:hAnsi="仿宋" w:eastAsia="仿宋"/>
          <w:szCs w:val="32"/>
        </w:rPr>
        <w:t>月，调研对象涵盖</w:t>
      </w:r>
      <w:r>
        <w:rPr>
          <w:rFonts w:hint="eastAsia" w:ascii="仿宋" w:hAnsi="仿宋" w:eastAsia="仿宋"/>
          <w:szCs w:val="32"/>
          <w:lang w:val="en-US" w:eastAsia="zh-CN"/>
        </w:rPr>
        <w:t>21</w:t>
      </w:r>
      <w:r>
        <w:rPr>
          <w:rFonts w:hint="eastAsia" w:ascii="仿宋" w:hAnsi="仿宋" w:eastAsia="仿宋"/>
          <w:szCs w:val="32"/>
        </w:rPr>
        <w:t>家行业企业、</w:t>
      </w:r>
      <w:r>
        <w:rPr>
          <w:rFonts w:hint="eastAsia" w:ascii="仿宋" w:hAnsi="仿宋" w:eastAsia="仿宋"/>
          <w:szCs w:val="32"/>
          <w:lang w:val="en-US" w:eastAsia="zh-CN"/>
        </w:rPr>
        <w:t>10</w:t>
      </w:r>
      <w:r>
        <w:rPr>
          <w:rFonts w:hint="eastAsia" w:ascii="仿宋" w:hAnsi="仿宋" w:eastAsia="仿宋"/>
          <w:szCs w:val="32"/>
        </w:rPr>
        <w:t>所中职院校、</w:t>
      </w:r>
      <w:r>
        <w:rPr>
          <w:rFonts w:hint="eastAsia" w:ascii="仿宋" w:hAnsi="仿宋" w:eastAsia="仿宋"/>
          <w:szCs w:val="32"/>
          <w:lang w:val="en-US" w:eastAsia="zh-CN"/>
        </w:rPr>
        <w:t>8</w:t>
      </w:r>
      <w:r>
        <w:rPr>
          <w:rFonts w:hint="eastAsia" w:ascii="仿宋" w:hAnsi="仿宋" w:eastAsia="仿宋"/>
          <w:szCs w:val="32"/>
        </w:rPr>
        <w:t>所高职专科</w:t>
      </w:r>
      <w:r>
        <w:rPr>
          <w:rFonts w:hint="eastAsia" w:ascii="仿宋" w:hAnsi="仿宋" w:eastAsia="仿宋"/>
          <w:szCs w:val="32"/>
          <w:lang w:val="en-US" w:eastAsia="zh-CN"/>
        </w:rPr>
        <w:t>和职业本科</w:t>
      </w:r>
      <w:r>
        <w:rPr>
          <w:rFonts w:hint="eastAsia" w:ascii="仿宋" w:hAnsi="仿宋" w:eastAsia="仿宋"/>
          <w:szCs w:val="32"/>
        </w:rPr>
        <w:t>院校及</w:t>
      </w:r>
      <w:r>
        <w:rPr>
          <w:rFonts w:hint="eastAsia" w:ascii="仿宋" w:hAnsi="仿宋" w:eastAsia="仿宋"/>
          <w:szCs w:val="32"/>
          <w:lang w:val="en-US" w:eastAsia="zh-CN"/>
        </w:rPr>
        <w:t>5</w:t>
      </w:r>
      <w:r>
        <w:rPr>
          <w:rFonts w:hint="eastAsia" w:ascii="仿宋" w:hAnsi="仿宋" w:eastAsia="仿宋"/>
          <w:szCs w:val="32"/>
        </w:rPr>
        <w:t>所</w:t>
      </w:r>
      <w:r>
        <w:rPr>
          <w:rFonts w:hint="eastAsia" w:ascii="仿宋" w:hAnsi="仿宋" w:eastAsia="仿宋"/>
          <w:szCs w:val="32"/>
          <w:lang w:val="en-US" w:eastAsia="zh-CN"/>
        </w:rPr>
        <w:t>职业</w:t>
      </w:r>
      <w:r>
        <w:rPr>
          <w:rFonts w:hint="eastAsia" w:ascii="仿宋" w:hAnsi="仿宋" w:eastAsia="仿宋"/>
          <w:szCs w:val="32"/>
        </w:rPr>
        <w:t>应用型</w:t>
      </w:r>
      <w:r>
        <w:rPr>
          <w:rFonts w:hint="eastAsia" w:ascii="仿宋" w:hAnsi="仿宋" w:eastAsia="仿宋"/>
          <w:szCs w:val="32"/>
          <w:lang w:val="en-US" w:eastAsia="zh-CN"/>
        </w:rPr>
        <w:t>和教学科研型普通</w:t>
      </w:r>
      <w:r>
        <w:rPr>
          <w:rFonts w:hint="eastAsia" w:ascii="仿宋" w:hAnsi="仿宋" w:eastAsia="仿宋"/>
          <w:szCs w:val="32"/>
        </w:rPr>
        <w:t>本科院校，重点分析了不同层次</w:t>
      </w:r>
      <w:r>
        <w:rPr>
          <w:rFonts w:hint="eastAsia" w:ascii="仿宋" w:hAnsi="仿宋" w:eastAsia="仿宋"/>
          <w:szCs w:val="32"/>
          <w:lang w:val="en-US" w:eastAsia="zh-CN"/>
        </w:rPr>
        <w:t>行业企业在人才需求，不同层次</w:t>
      </w:r>
      <w:r>
        <w:rPr>
          <w:rFonts w:hint="eastAsia" w:ascii="仿宋" w:hAnsi="仿宋" w:eastAsia="仿宋"/>
          <w:szCs w:val="32"/>
        </w:rPr>
        <w:t>院校在国际经济与贸易专业人才培养目标、课程体系、实践教学、师资建设等方面的差异与特色。通过对比分析，总结经验，并结合我校实际情况，提出优化人才培养方案的对策建议，为202</w:t>
      </w:r>
      <w:r>
        <w:rPr>
          <w:rFonts w:hint="eastAsia" w:ascii="仿宋" w:hAnsi="仿宋" w:eastAsia="仿宋"/>
          <w:szCs w:val="32"/>
          <w:lang w:val="en-US" w:eastAsia="zh-CN"/>
        </w:rPr>
        <w:t>5</w:t>
      </w:r>
      <w:r>
        <w:rPr>
          <w:rFonts w:hint="eastAsia" w:ascii="仿宋" w:hAnsi="仿宋" w:eastAsia="仿宋"/>
          <w:szCs w:val="32"/>
        </w:rPr>
        <w:t>级</w:t>
      </w:r>
      <w:r>
        <w:rPr>
          <w:rFonts w:hint="eastAsia" w:ascii="仿宋" w:hAnsi="仿宋" w:eastAsia="仿宋"/>
          <w:szCs w:val="32"/>
          <w:lang w:val="en-US" w:eastAsia="zh-CN"/>
        </w:rPr>
        <w:t>职业本科</w:t>
      </w:r>
      <w:r>
        <w:rPr>
          <w:rFonts w:hint="eastAsia" w:ascii="仿宋" w:hAnsi="仿宋" w:eastAsia="仿宋"/>
          <w:szCs w:val="32"/>
        </w:rPr>
        <w:t>人才培养方案提供制定依据。</w:t>
      </w:r>
    </w:p>
    <w:p w14:paraId="5E7382A1">
      <w:pPr>
        <w:ind w:firstLine="643" w:firstLineChars="200"/>
        <w:rPr>
          <w:rFonts w:hint="eastAsia" w:ascii="仿宋" w:hAnsi="仿宋" w:eastAsia="仿宋"/>
          <w:b/>
          <w:szCs w:val="32"/>
          <w:lang w:eastAsia="zh-CN"/>
        </w:rPr>
      </w:pPr>
      <w:r>
        <w:rPr>
          <w:rFonts w:hint="eastAsia" w:ascii="仿宋" w:hAnsi="仿宋" w:eastAsia="仿宋"/>
          <w:b/>
          <w:szCs w:val="32"/>
        </w:rPr>
        <w:t>一、调研目的</w:t>
      </w:r>
    </w:p>
    <w:p w14:paraId="255D1751">
      <w:pPr>
        <w:pStyle w:val="4"/>
        <w:ind w:firstLine="640"/>
        <w:rPr>
          <w:rFonts w:hint="eastAsia" w:ascii="仿宋" w:hAnsi="仿宋" w:eastAsia="仿宋"/>
          <w:sz w:val="32"/>
          <w:szCs w:val="32"/>
          <w:lang w:eastAsia="zh-CN"/>
        </w:rPr>
      </w:pPr>
      <w:r>
        <w:rPr>
          <w:rFonts w:hint="eastAsia" w:ascii="仿宋" w:hAnsi="仿宋" w:eastAsia="仿宋"/>
          <w:sz w:val="32"/>
          <w:szCs w:val="32"/>
          <w:lang w:eastAsia="zh-CN"/>
        </w:rPr>
        <w:t>（一）了解行业产业发展供需情况</w:t>
      </w:r>
    </w:p>
    <w:p w14:paraId="5473C783">
      <w:pPr>
        <w:pStyle w:val="4"/>
        <w:ind w:firstLine="640"/>
        <w:rPr>
          <w:rFonts w:hint="eastAsia" w:ascii="仿宋" w:hAnsi="仿宋" w:eastAsia="仿宋"/>
          <w:sz w:val="32"/>
          <w:szCs w:val="32"/>
          <w:lang w:eastAsia="zh-CN"/>
        </w:rPr>
      </w:pPr>
      <w:r>
        <w:rPr>
          <w:rFonts w:hint="eastAsia" w:ascii="仿宋" w:hAnsi="仿宋" w:eastAsia="仿宋"/>
          <w:sz w:val="32"/>
          <w:szCs w:val="32"/>
          <w:lang w:eastAsia="zh-CN"/>
        </w:rPr>
        <w:t>通过调研行业企业的最新用人需求、技术发展趋势及岗位能力要求，分析国际经济与贸易领域的人才供需现状，为专业定位和人才培养目标调整提供依据，确保专业建设与产业发展同步。</w:t>
      </w:r>
    </w:p>
    <w:p w14:paraId="59DB4DD9">
      <w:pPr>
        <w:pStyle w:val="4"/>
        <w:ind w:firstLine="640"/>
        <w:rPr>
          <w:rFonts w:hint="eastAsia" w:ascii="仿宋" w:hAnsi="仿宋" w:eastAsia="仿宋"/>
          <w:sz w:val="32"/>
          <w:szCs w:val="32"/>
          <w:lang w:eastAsia="zh-CN"/>
        </w:rPr>
      </w:pPr>
      <w:r>
        <w:rPr>
          <w:rFonts w:hint="eastAsia" w:ascii="仿宋" w:hAnsi="仿宋" w:eastAsia="仿宋"/>
          <w:sz w:val="32"/>
          <w:szCs w:val="32"/>
          <w:lang w:eastAsia="zh-CN"/>
        </w:rPr>
        <w:t>（二）专业人才培养适应性情况</w:t>
      </w:r>
    </w:p>
    <w:p w14:paraId="1B88F782">
      <w:pPr>
        <w:pStyle w:val="4"/>
        <w:ind w:firstLine="640"/>
        <w:rPr>
          <w:rFonts w:hint="eastAsia" w:ascii="仿宋" w:hAnsi="仿宋" w:eastAsia="仿宋"/>
          <w:sz w:val="32"/>
          <w:szCs w:val="32"/>
          <w:lang w:eastAsia="zh-CN"/>
        </w:rPr>
      </w:pPr>
      <w:r>
        <w:rPr>
          <w:rFonts w:hint="eastAsia" w:ascii="仿宋" w:hAnsi="仿宋" w:eastAsia="仿宋"/>
          <w:sz w:val="32"/>
          <w:szCs w:val="32"/>
          <w:lang w:eastAsia="zh-CN"/>
        </w:rPr>
        <w:t>结合中职、高职、职业本科及普通本科院校的培养方案，评估现有课程体系、实践教学及师资结构是否满足职业本科层次的技术技能人才培养要求，找出差距并提出优化方向。</w:t>
      </w:r>
    </w:p>
    <w:p w14:paraId="36BCA81C">
      <w:pPr>
        <w:pStyle w:val="4"/>
        <w:ind w:firstLine="640"/>
        <w:rPr>
          <w:rFonts w:hint="eastAsia" w:ascii="仿宋" w:hAnsi="仿宋" w:eastAsia="仿宋"/>
          <w:sz w:val="32"/>
          <w:szCs w:val="32"/>
          <w:lang w:eastAsia="zh-CN"/>
        </w:rPr>
      </w:pPr>
      <w:r>
        <w:rPr>
          <w:rFonts w:hint="eastAsia" w:ascii="仿宋" w:hAnsi="仿宋" w:eastAsia="仿宋"/>
          <w:sz w:val="32"/>
          <w:szCs w:val="32"/>
          <w:lang w:eastAsia="zh-CN"/>
        </w:rPr>
        <w:t>（三）同行专业人才培养方案编制情况</w:t>
      </w:r>
    </w:p>
    <w:p w14:paraId="57C20EDF">
      <w:pPr>
        <w:ind w:firstLine="640" w:firstLineChars="200"/>
        <w:outlineLvl w:val="0"/>
        <w:rPr>
          <w:rFonts w:hint="eastAsia" w:ascii="仿宋" w:hAnsi="仿宋" w:eastAsia="仿宋" w:cs="Times New Roman"/>
          <w:kern w:val="0"/>
          <w:sz w:val="32"/>
          <w:szCs w:val="32"/>
          <w:lang w:val="en-US" w:eastAsia="zh-CN" w:bidi="ar-SA"/>
        </w:rPr>
      </w:pPr>
      <w:bookmarkStart w:id="0" w:name="_Toc19331"/>
      <w:r>
        <w:rPr>
          <w:rFonts w:hint="eastAsia" w:ascii="仿宋" w:hAnsi="仿宋" w:eastAsia="仿宋" w:cs="Times New Roman"/>
          <w:kern w:val="0"/>
          <w:sz w:val="32"/>
          <w:szCs w:val="32"/>
          <w:lang w:val="en-US" w:eastAsia="zh-CN" w:bidi="ar-SA"/>
        </w:rPr>
        <w:t>对比同类院校在培养目标、课程模块、产教融合模式等方面的特色做法，借鉴先进经验，完善我校职业本科人才培养方案的针对性和可操作性。</w:t>
      </w:r>
    </w:p>
    <w:p w14:paraId="4B5EB9F3">
      <w:pPr>
        <w:ind w:firstLine="643" w:firstLineChars="200"/>
        <w:outlineLvl w:val="0"/>
        <w:rPr>
          <w:rFonts w:ascii="仿宋" w:hAnsi="仿宋" w:eastAsia="仿宋"/>
          <w:b/>
          <w:szCs w:val="32"/>
        </w:rPr>
      </w:pPr>
      <w:r>
        <w:rPr>
          <w:rFonts w:hint="eastAsia" w:ascii="仿宋" w:hAnsi="仿宋" w:eastAsia="仿宋"/>
          <w:b/>
          <w:szCs w:val="32"/>
        </w:rPr>
        <w:t>二、调研时间及对象</w:t>
      </w:r>
      <w:bookmarkEnd w:id="0"/>
    </w:p>
    <w:p w14:paraId="579A0378">
      <w:pPr>
        <w:ind w:firstLine="643" w:firstLineChars="200"/>
        <w:outlineLvl w:val="1"/>
        <w:rPr>
          <w:rFonts w:ascii="仿宋" w:hAnsi="仿宋" w:eastAsia="仿宋"/>
          <w:b/>
          <w:szCs w:val="32"/>
        </w:rPr>
      </w:pPr>
      <w:bookmarkStart w:id="1" w:name="_Toc17567"/>
      <w:r>
        <w:rPr>
          <w:rFonts w:hint="eastAsia" w:ascii="仿宋" w:hAnsi="仿宋" w:eastAsia="仿宋"/>
          <w:b/>
          <w:szCs w:val="32"/>
        </w:rPr>
        <w:t>(一)调研时间</w:t>
      </w:r>
      <w:bookmarkEnd w:id="1"/>
    </w:p>
    <w:p w14:paraId="0E17C6A4">
      <w:pPr>
        <w:pStyle w:val="4"/>
        <w:ind w:firstLine="640"/>
        <w:rPr>
          <w:rFonts w:hint="default" w:ascii="仿宋" w:hAnsi="仿宋" w:eastAsia="仿宋"/>
          <w:sz w:val="32"/>
          <w:szCs w:val="32"/>
          <w:lang w:val="en-US" w:eastAsia="zh-CN"/>
        </w:rPr>
      </w:pPr>
      <w:r>
        <w:rPr>
          <w:rFonts w:hint="eastAsia" w:ascii="仿宋" w:hAnsi="仿宋" w:eastAsia="仿宋"/>
          <w:sz w:val="32"/>
          <w:szCs w:val="32"/>
          <w:lang w:eastAsia="zh-CN"/>
        </w:rPr>
        <w:t>专业于202</w:t>
      </w:r>
      <w:r>
        <w:rPr>
          <w:rFonts w:hint="eastAsia" w:ascii="仿宋" w:hAnsi="仿宋" w:eastAsia="仿宋"/>
          <w:sz w:val="32"/>
          <w:szCs w:val="32"/>
          <w:lang w:val="en-US" w:eastAsia="zh-CN"/>
        </w:rPr>
        <w:t>5</w:t>
      </w:r>
      <w:r>
        <w:rPr>
          <w:rFonts w:hint="eastAsia" w:ascii="仿宋" w:hAnsi="仿宋" w:eastAsia="仿宋"/>
          <w:sz w:val="32"/>
          <w:szCs w:val="32"/>
          <w:lang w:eastAsia="zh-CN"/>
        </w:rPr>
        <w:t>年</w:t>
      </w:r>
      <w:r>
        <w:rPr>
          <w:rFonts w:hint="eastAsia" w:ascii="仿宋" w:hAnsi="仿宋" w:eastAsia="仿宋"/>
          <w:sz w:val="32"/>
          <w:szCs w:val="32"/>
          <w:lang w:val="en-US" w:eastAsia="zh-CN"/>
        </w:rPr>
        <w:t>3</w:t>
      </w:r>
      <w:r>
        <w:rPr>
          <w:rFonts w:hint="eastAsia" w:ascii="仿宋" w:hAnsi="仿宋" w:eastAsia="仿宋"/>
          <w:sz w:val="32"/>
          <w:szCs w:val="32"/>
          <w:lang w:eastAsia="zh-CN"/>
        </w:rPr>
        <w:t>月制订调研计划，</w:t>
      </w:r>
      <w:r>
        <w:rPr>
          <w:rFonts w:hint="eastAsia" w:ascii="仿宋" w:hAnsi="仿宋" w:eastAsia="仿宋"/>
          <w:sz w:val="32"/>
          <w:szCs w:val="32"/>
          <w:lang w:val="en-US" w:eastAsia="zh-CN"/>
        </w:rPr>
        <w:t>4</w:t>
      </w:r>
      <w:r>
        <w:rPr>
          <w:rFonts w:hint="eastAsia" w:ascii="仿宋" w:hAnsi="仿宋" w:eastAsia="仿宋"/>
          <w:sz w:val="32"/>
          <w:szCs w:val="32"/>
          <w:lang w:eastAsia="zh-CN"/>
        </w:rPr>
        <w:t>-6月开始按计划实施调研，</w:t>
      </w:r>
      <w:r>
        <w:rPr>
          <w:rFonts w:hint="eastAsia" w:ascii="仿宋" w:hAnsi="仿宋" w:eastAsia="仿宋"/>
          <w:sz w:val="32"/>
          <w:szCs w:val="32"/>
          <w:lang w:val="en-US" w:eastAsia="zh-CN"/>
        </w:rPr>
        <w:t>分别对行业企业、在校生和毕业生、中职、高职专科、职业本科、应用型本科和教学科研型本科进行了调研。</w:t>
      </w:r>
    </w:p>
    <w:p w14:paraId="5A11E081">
      <w:pPr>
        <w:ind w:firstLine="643" w:firstLineChars="200"/>
        <w:outlineLvl w:val="1"/>
        <w:rPr>
          <w:rFonts w:ascii="仿宋" w:hAnsi="仿宋" w:eastAsia="仿宋"/>
          <w:b/>
          <w:szCs w:val="32"/>
        </w:rPr>
      </w:pPr>
      <w:bookmarkStart w:id="2" w:name="_Toc32229"/>
      <w:r>
        <w:rPr>
          <w:rFonts w:hint="eastAsia" w:ascii="仿宋" w:hAnsi="仿宋" w:eastAsia="仿宋"/>
          <w:b/>
          <w:szCs w:val="32"/>
        </w:rPr>
        <w:t>(二)调研对象</w:t>
      </w:r>
      <w:bookmarkEnd w:id="2"/>
    </w:p>
    <w:p w14:paraId="3F84A6C5">
      <w:pPr>
        <w:ind w:firstLine="640" w:firstLineChars="200"/>
        <w:outlineLvl w:val="2"/>
        <w:rPr>
          <w:rFonts w:hint="eastAsia" w:ascii="仿宋" w:hAnsi="仿宋" w:eastAsia="仿宋"/>
          <w:szCs w:val="32"/>
        </w:rPr>
      </w:pPr>
      <w:r>
        <w:rPr>
          <w:rFonts w:hint="eastAsia" w:ascii="仿宋" w:hAnsi="仿宋" w:eastAsia="仿宋"/>
          <w:szCs w:val="32"/>
        </w:rPr>
        <w:t>1.行业企业</w:t>
      </w:r>
    </w:p>
    <w:p w14:paraId="0C84E408">
      <w:pPr>
        <w:pStyle w:val="3"/>
        <w:snapToGrid/>
        <w:spacing w:before="0" w:after="0" w:line="240" w:lineRule="auto"/>
        <w:ind w:right="0" w:firstLine="640" w:firstLineChars="200"/>
        <w:jc w:val="both"/>
        <w:rPr>
          <w:rFonts w:hint="eastAsia" w:ascii="Times New Roman" w:hAnsi="Times New Roman" w:eastAsia="仿宋_GB2312" w:cstheme="minorBidi"/>
          <w:b w:val="0"/>
          <w:bCs w:val="0"/>
          <w:color w:val="000000"/>
          <w:kern w:val="2"/>
          <w:sz w:val="32"/>
          <w:szCs w:val="32"/>
          <w:lang w:val="zh-CN"/>
        </w:rPr>
      </w:pPr>
      <w:r>
        <w:rPr>
          <w:rFonts w:hint="eastAsia" w:cstheme="minorBidi"/>
          <w:b w:val="0"/>
          <w:bCs w:val="0"/>
          <w:color w:val="000000"/>
          <w:kern w:val="2"/>
          <w:sz w:val="32"/>
          <w:szCs w:val="32"/>
          <w:lang w:val="en-US" w:eastAsia="zh-CN"/>
        </w:rPr>
        <w:t>本次调研</w:t>
      </w:r>
      <w:r>
        <w:rPr>
          <w:rFonts w:hint="eastAsia" w:ascii="Times New Roman" w:hAnsi="Times New Roman" w:eastAsia="仿宋_GB2312" w:cstheme="minorBidi"/>
          <w:b w:val="0"/>
          <w:bCs w:val="0"/>
          <w:color w:val="000000"/>
          <w:kern w:val="2"/>
          <w:sz w:val="32"/>
          <w:szCs w:val="32"/>
          <w:lang w:val="zh-CN"/>
        </w:rPr>
        <w:t>行业企业</w:t>
      </w:r>
      <w:r>
        <w:rPr>
          <w:rFonts w:hint="eastAsia" w:cstheme="minorBidi"/>
          <w:b w:val="0"/>
          <w:bCs w:val="0"/>
          <w:color w:val="000000"/>
          <w:kern w:val="2"/>
          <w:sz w:val="32"/>
          <w:szCs w:val="32"/>
          <w:lang w:val="en-US" w:eastAsia="zh-CN"/>
        </w:rPr>
        <w:t>共21</w:t>
      </w:r>
      <w:r>
        <w:rPr>
          <w:rFonts w:hint="eastAsia" w:ascii="Times New Roman" w:hAnsi="Times New Roman" w:eastAsia="仿宋_GB2312" w:cstheme="minorBidi"/>
          <w:b w:val="0"/>
          <w:bCs w:val="0"/>
          <w:color w:val="000000"/>
          <w:kern w:val="2"/>
          <w:sz w:val="32"/>
          <w:szCs w:val="32"/>
          <w:lang w:val="zh-CN"/>
        </w:rPr>
        <w:t>家，其中，</w:t>
      </w:r>
      <w:r>
        <w:rPr>
          <w:rFonts w:hint="eastAsia" w:cstheme="minorBidi"/>
          <w:b w:val="0"/>
          <w:bCs w:val="0"/>
          <w:color w:val="000000"/>
          <w:kern w:val="2"/>
          <w:sz w:val="32"/>
          <w:szCs w:val="32"/>
          <w:lang w:val="en-US" w:eastAsia="zh-CN"/>
        </w:rPr>
        <w:t>综合性商会1</w:t>
      </w:r>
      <w:r>
        <w:rPr>
          <w:rFonts w:hint="eastAsia" w:ascii="Times New Roman" w:hAnsi="Times New Roman" w:eastAsia="仿宋_GB2312" w:cstheme="minorBidi"/>
          <w:b w:val="0"/>
          <w:bCs w:val="0"/>
          <w:color w:val="000000"/>
          <w:kern w:val="2"/>
          <w:sz w:val="32"/>
          <w:szCs w:val="32"/>
          <w:lang w:val="zh-CN"/>
        </w:rPr>
        <w:t>家</w:t>
      </w:r>
      <w:r>
        <w:rPr>
          <w:rFonts w:hint="eastAsia" w:cstheme="minorBidi"/>
          <w:b w:val="0"/>
          <w:bCs w:val="0"/>
          <w:color w:val="000000"/>
          <w:kern w:val="2"/>
          <w:sz w:val="32"/>
          <w:szCs w:val="32"/>
          <w:lang w:val="zh-CN"/>
        </w:rPr>
        <w:t>、</w:t>
      </w:r>
      <w:r>
        <w:rPr>
          <w:rFonts w:hint="eastAsia" w:ascii="Times New Roman" w:hAnsi="Times New Roman" w:eastAsia="仿宋_GB2312" w:cstheme="minorBidi"/>
          <w:b w:val="0"/>
          <w:bCs w:val="0"/>
          <w:color w:val="000000"/>
          <w:kern w:val="2"/>
          <w:sz w:val="32"/>
          <w:szCs w:val="32"/>
          <w:lang w:val="zh-CN"/>
        </w:rPr>
        <w:t>国有企业</w:t>
      </w:r>
      <w:r>
        <w:rPr>
          <w:rFonts w:hint="eastAsia" w:cstheme="minorBidi"/>
          <w:b w:val="0"/>
          <w:bCs w:val="0"/>
          <w:color w:val="000000"/>
          <w:kern w:val="2"/>
          <w:sz w:val="32"/>
          <w:szCs w:val="32"/>
          <w:lang w:val="en-US" w:eastAsia="zh-CN"/>
        </w:rPr>
        <w:t>3</w:t>
      </w:r>
      <w:r>
        <w:rPr>
          <w:rFonts w:hint="eastAsia" w:ascii="Times New Roman" w:hAnsi="Times New Roman" w:eastAsia="仿宋_GB2312" w:cstheme="minorBidi"/>
          <w:b w:val="0"/>
          <w:bCs w:val="0"/>
          <w:color w:val="000000"/>
          <w:kern w:val="2"/>
          <w:sz w:val="32"/>
          <w:szCs w:val="32"/>
          <w:lang w:val="zh-CN"/>
        </w:rPr>
        <w:t>家</w:t>
      </w:r>
      <w:r>
        <w:rPr>
          <w:rFonts w:hint="eastAsia" w:cstheme="minorBidi"/>
          <w:b w:val="0"/>
          <w:bCs w:val="0"/>
          <w:color w:val="000000"/>
          <w:kern w:val="2"/>
          <w:sz w:val="32"/>
          <w:szCs w:val="32"/>
          <w:lang w:val="zh-CN"/>
        </w:rPr>
        <w:t>、外资企业</w:t>
      </w:r>
      <w:r>
        <w:rPr>
          <w:rFonts w:hint="eastAsia" w:cstheme="minorBidi"/>
          <w:b w:val="0"/>
          <w:bCs w:val="0"/>
          <w:color w:val="000000"/>
          <w:kern w:val="2"/>
          <w:sz w:val="32"/>
          <w:szCs w:val="32"/>
          <w:lang w:val="en-US" w:eastAsia="zh-CN"/>
        </w:rPr>
        <w:t>3</w:t>
      </w:r>
      <w:r>
        <w:rPr>
          <w:rFonts w:hint="eastAsia" w:cstheme="minorBidi"/>
          <w:b w:val="0"/>
          <w:bCs w:val="0"/>
          <w:color w:val="000000"/>
          <w:kern w:val="2"/>
          <w:sz w:val="32"/>
          <w:szCs w:val="32"/>
          <w:lang w:val="zh-CN"/>
        </w:rPr>
        <w:t>家、民营企业</w:t>
      </w:r>
      <w:r>
        <w:rPr>
          <w:rFonts w:hint="eastAsia" w:cstheme="minorBidi"/>
          <w:b w:val="0"/>
          <w:bCs w:val="0"/>
          <w:color w:val="000000"/>
          <w:kern w:val="2"/>
          <w:sz w:val="32"/>
          <w:szCs w:val="32"/>
          <w:lang w:val="en-US" w:eastAsia="zh-CN"/>
        </w:rPr>
        <w:t>14</w:t>
      </w:r>
      <w:r>
        <w:rPr>
          <w:rFonts w:hint="eastAsia" w:cstheme="minorBidi"/>
          <w:b w:val="0"/>
          <w:bCs w:val="0"/>
          <w:color w:val="000000"/>
          <w:kern w:val="2"/>
          <w:sz w:val="32"/>
          <w:szCs w:val="32"/>
          <w:lang w:val="zh-CN"/>
        </w:rPr>
        <w:t>家、</w:t>
      </w:r>
      <w:r>
        <w:rPr>
          <w:rFonts w:hint="eastAsia" w:ascii="Times New Roman" w:hAnsi="Times New Roman" w:eastAsia="仿宋_GB2312" w:cstheme="minorBidi"/>
          <w:b w:val="0"/>
          <w:bCs w:val="0"/>
          <w:color w:val="000000"/>
          <w:kern w:val="2"/>
          <w:sz w:val="32"/>
          <w:szCs w:val="32"/>
          <w:lang w:val="zh-CN"/>
        </w:rPr>
        <w:t>具体为：</w:t>
      </w:r>
    </w:p>
    <w:p w14:paraId="421F5694">
      <w:pPr>
        <w:pStyle w:val="3"/>
        <w:snapToGrid/>
        <w:spacing w:before="0" w:after="0" w:line="240" w:lineRule="auto"/>
        <w:ind w:right="0"/>
        <w:jc w:val="center"/>
        <w:rPr>
          <w:rFonts w:hint="default" w:ascii="Times New Roman" w:hAnsi="Times New Roman" w:eastAsia="仿宋_GB2312" w:cstheme="minorBidi"/>
          <w:b/>
          <w:bCs/>
          <w:color w:val="000000"/>
          <w:kern w:val="2"/>
          <w:sz w:val="28"/>
          <w:szCs w:val="28"/>
          <w:lang w:val="en-US" w:eastAsia="zh-CN" w:bidi="ar-SA"/>
        </w:rPr>
      </w:pPr>
      <w:r>
        <w:rPr>
          <w:rFonts w:hint="eastAsia" w:ascii="Times New Roman" w:hAnsi="Times New Roman" w:eastAsia="仿宋_GB2312" w:cstheme="minorBidi"/>
          <w:b/>
          <w:bCs/>
          <w:color w:val="000000"/>
          <w:kern w:val="2"/>
          <w:sz w:val="28"/>
          <w:szCs w:val="28"/>
          <w:lang w:val="en-US" w:eastAsia="zh-CN" w:bidi="ar-SA"/>
        </w:rPr>
        <w:t>表2-1 调研的行业企业</w:t>
      </w:r>
    </w:p>
    <w:tbl>
      <w:tblPr>
        <w:tblStyle w:val="11"/>
        <w:tblW w:w="0" w:type="auto"/>
        <w:tblInd w:w="3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871"/>
        <w:gridCol w:w="4694"/>
      </w:tblGrid>
      <w:tr w14:paraId="274D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Align w:val="center"/>
          </w:tcPr>
          <w:p w14:paraId="4252E4EF">
            <w:pPr>
              <w:keepNext w:val="0"/>
              <w:keepLines w:val="0"/>
              <w:widowControl/>
              <w:suppressLineNumbers w:val="0"/>
              <w:jc w:val="center"/>
              <w:textAlignment w:val="center"/>
              <w:rPr>
                <w:rFonts w:hint="eastAsia" w:ascii="Times New Roman" w:hAnsi="Times New Roman" w:eastAsia="仿宋_GB2312" w:cstheme="minorBidi"/>
                <w:b/>
                <w:bCs/>
                <w:color w:val="000000"/>
                <w:kern w:val="2"/>
                <w:sz w:val="24"/>
                <w:szCs w:val="24"/>
                <w:lang w:val="en-US" w:eastAsia="zh-CN"/>
              </w:rPr>
            </w:pPr>
            <w:r>
              <w:rPr>
                <w:rFonts w:hint="eastAsia" w:cstheme="minorBidi"/>
                <w:b/>
                <w:bCs/>
                <w:color w:val="000000"/>
                <w:kern w:val="2"/>
                <w:sz w:val="24"/>
                <w:szCs w:val="24"/>
                <w:lang w:val="en-US" w:eastAsia="zh-CN"/>
              </w:rPr>
              <w:t>数量</w:t>
            </w:r>
          </w:p>
        </w:tc>
        <w:tc>
          <w:tcPr>
            <w:tcW w:w="1871" w:type="dxa"/>
            <w:vAlign w:val="center"/>
          </w:tcPr>
          <w:p w14:paraId="5F4991F3">
            <w:pPr>
              <w:keepNext w:val="0"/>
              <w:keepLines w:val="0"/>
              <w:widowControl/>
              <w:suppressLineNumbers w:val="0"/>
              <w:jc w:val="left"/>
              <w:textAlignment w:val="center"/>
              <w:rPr>
                <w:rFonts w:hint="default" w:ascii="Times New Roman" w:hAnsi="Times New Roman" w:eastAsia="仿宋_GB2312" w:cstheme="minorBidi"/>
                <w:b/>
                <w:bCs/>
                <w:color w:val="000000"/>
                <w:kern w:val="2"/>
                <w:sz w:val="24"/>
                <w:szCs w:val="24"/>
                <w:lang w:val="en-US" w:eastAsia="zh-CN"/>
              </w:rPr>
            </w:pPr>
            <w:r>
              <w:rPr>
                <w:rFonts w:hint="eastAsia" w:cstheme="minorBidi"/>
                <w:b/>
                <w:bCs/>
                <w:color w:val="000000"/>
                <w:kern w:val="2"/>
                <w:sz w:val="24"/>
                <w:szCs w:val="24"/>
                <w:lang w:val="en-US" w:eastAsia="zh-CN"/>
              </w:rPr>
              <w:t>行业</w:t>
            </w:r>
            <w:r>
              <w:rPr>
                <w:rFonts w:hint="default" w:ascii="Times New Roman" w:hAnsi="Times New Roman" w:eastAsia="仿宋_GB2312" w:cstheme="minorBidi"/>
                <w:b/>
                <w:bCs/>
                <w:color w:val="000000"/>
                <w:kern w:val="2"/>
                <w:sz w:val="24"/>
                <w:szCs w:val="24"/>
                <w:lang w:val="en-US" w:eastAsia="zh-CN"/>
              </w:rPr>
              <w:t>企业</w:t>
            </w:r>
            <w:r>
              <w:rPr>
                <w:rFonts w:hint="eastAsia" w:cstheme="minorBidi"/>
                <w:b/>
                <w:bCs/>
                <w:color w:val="000000"/>
                <w:kern w:val="2"/>
                <w:sz w:val="24"/>
                <w:szCs w:val="24"/>
                <w:lang w:val="en-US" w:eastAsia="zh-CN"/>
              </w:rPr>
              <w:t>类型</w:t>
            </w:r>
          </w:p>
        </w:tc>
        <w:tc>
          <w:tcPr>
            <w:tcW w:w="4694" w:type="dxa"/>
            <w:vAlign w:val="center"/>
          </w:tcPr>
          <w:p w14:paraId="62F5E8DE">
            <w:pPr>
              <w:keepNext w:val="0"/>
              <w:keepLines w:val="0"/>
              <w:widowControl/>
              <w:suppressLineNumbers w:val="0"/>
              <w:jc w:val="center"/>
              <w:textAlignment w:val="center"/>
              <w:rPr>
                <w:rFonts w:hint="default" w:ascii="Times New Roman" w:hAnsi="Times New Roman" w:eastAsia="仿宋_GB2312" w:cstheme="minorBidi"/>
                <w:b/>
                <w:bCs/>
                <w:color w:val="000000"/>
                <w:kern w:val="2"/>
                <w:sz w:val="24"/>
                <w:szCs w:val="24"/>
                <w:lang w:val="en-US" w:eastAsia="zh-CN"/>
              </w:rPr>
            </w:pPr>
            <w:r>
              <w:rPr>
                <w:rFonts w:hint="eastAsia" w:cstheme="minorBidi"/>
                <w:b/>
                <w:bCs/>
                <w:color w:val="000000"/>
                <w:kern w:val="2"/>
                <w:sz w:val="24"/>
                <w:szCs w:val="24"/>
                <w:lang w:val="en-US" w:eastAsia="zh-CN"/>
              </w:rPr>
              <w:t>企业</w:t>
            </w:r>
            <w:r>
              <w:rPr>
                <w:rFonts w:hint="default" w:ascii="Times New Roman" w:hAnsi="Times New Roman" w:eastAsia="仿宋_GB2312" w:cstheme="minorBidi"/>
                <w:b/>
                <w:bCs/>
                <w:color w:val="000000"/>
                <w:kern w:val="2"/>
                <w:sz w:val="24"/>
                <w:szCs w:val="24"/>
                <w:lang w:val="en-US" w:eastAsia="zh-CN"/>
              </w:rPr>
              <w:t>名称</w:t>
            </w:r>
          </w:p>
        </w:tc>
      </w:tr>
      <w:tr w14:paraId="1014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Align w:val="center"/>
          </w:tcPr>
          <w:p w14:paraId="1B0FAD4A">
            <w:pPr>
              <w:keepNext w:val="0"/>
              <w:keepLines w:val="0"/>
              <w:widowControl/>
              <w:suppressLineNumbers w:val="0"/>
              <w:jc w:val="center"/>
              <w:textAlignment w:val="center"/>
              <w:rPr>
                <w:rFonts w:hint="default" w:ascii="Times New Roman" w:hAnsi="Times New Roman" w:eastAsia="仿宋_GB2312" w:cstheme="minorBidi"/>
                <w:b/>
                <w:bCs/>
                <w:color w:val="000000"/>
                <w:kern w:val="2"/>
                <w:sz w:val="24"/>
                <w:szCs w:val="24"/>
                <w:lang w:val="en-US" w:eastAsia="zh-CN"/>
              </w:rPr>
            </w:pPr>
            <w:r>
              <w:rPr>
                <w:rFonts w:hint="eastAsia" w:cstheme="minorBidi"/>
                <w:b w:val="0"/>
                <w:bCs w:val="0"/>
                <w:color w:val="000000"/>
                <w:kern w:val="2"/>
                <w:sz w:val="24"/>
                <w:szCs w:val="24"/>
                <w:lang w:val="en-US" w:eastAsia="zh-CN"/>
              </w:rPr>
              <w:t>1</w:t>
            </w:r>
          </w:p>
        </w:tc>
        <w:tc>
          <w:tcPr>
            <w:tcW w:w="1871" w:type="dxa"/>
            <w:vAlign w:val="center"/>
          </w:tcPr>
          <w:p w14:paraId="195C3521">
            <w:pPr>
              <w:keepNext w:val="0"/>
              <w:keepLines w:val="0"/>
              <w:widowControl/>
              <w:suppressLineNumbers w:val="0"/>
              <w:jc w:val="left"/>
              <w:textAlignment w:val="center"/>
              <w:rPr>
                <w:rFonts w:hint="default" w:ascii="Times New Roman" w:hAnsi="Times New Roman" w:eastAsia="仿宋_GB2312" w:cstheme="minorBidi"/>
                <w:b/>
                <w:bCs/>
                <w:color w:val="000000"/>
                <w:kern w:val="2"/>
                <w:sz w:val="24"/>
                <w:szCs w:val="24"/>
                <w:lang w:val="en-US" w:eastAsia="zh-CN"/>
              </w:rPr>
            </w:pPr>
            <w:r>
              <w:rPr>
                <w:rFonts w:hint="default" w:ascii="Times New Roman" w:hAnsi="Times New Roman" w:eastAsia="仿宋_GB2312" w:cstheme="minorBidi"/>
                <w:b w:val="0"/>
                <w:bCs w:val="0"/>
                <w:color w:val="000000"/>
                <w:kern w:val="2"/>
                <w:sz w:val="24"/>
                <w:szCs w:val="24"/>
                <w:lang w:val="en-US" w:eastAsia="zh-CN"/>
              </w:rPr>
              <w:t>综合性商会</w:t>
            </w:r>
          </w:p>
        </w:tc>
        <w:tc>
          <w:tcPr>
            <w:tcW w:w="4694" w:type="dxa"/>
            <w:vAlign w:val="center"/>
          </w:tcPr>
          <w:p w14:paraId="31712E77">
            <w:pPr>
              <w:keepNext w:val="0"/>
              <w:keepLines w:val="0"/>
              <w:widowControl/>
              <w:suppressLineNumbers w:val="0"/>
              <w:jc w:val="left"/>
              <w:textAlignment w:val="center"/>
              <w:rPr>
                <w:rFonts w:hint="eastAsia" w:cstheme="minorBidi"/>
                <w:b/>
                <w:bCs/>
                <w:color w:val="000000"/>
                <w:kern w:val="2"/>
                <w:sz w:val="24"/>
                <w:szCs w:val="24"/>
                <w:lang w:val="en-US" w:eastAsia="zh-CN"/>
              </w:rPr>
            </w:pPr>
            <w:r>
              <w:rPr>
                <w:rFonts w:hint="default" w:ascii="Times New Roman" w:hAnsi="Times New Roman" w:eastAsia="仿宋_GB2312" w:cstheme="minorBidi"/>
                <w:b w:val="0"/>
                <w:bCs w:val="0"/>
                <w:color w:val="000000"/>
                <w:kern w:val="2"/>
                <w:sz w:val="24"/>
                <w:szCs w:val="24"/>
                <w:lang w:val="en-US" w:eastAsia="zh-CN"/>
              </w:rPr>
              <w:t>桂商总会</w:t>
            </w:r>
          </w:p>
        </w:tc>
      </w:tr>
      <w:tr w14:paraId="24A5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restart"/>
            <w:vAlign w:val="center"/>
          </w:tcPr>
          <w:p w14:paraId="6EBBF147">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3</w:t>
            </w:r>
          </w:p>
        </w:tc>
        <w:tc>
          <w:tcPr>
            <w:tcW w:w="1871" w:type="dxa"/>
            <w:vMerge w:val="restart"/>
            <w:vAlign w:val="center"/>
          </w:tcPr>
          <w:p w14:paraId="5ACBFF6C">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国有企业</w:t>
            </w:r>
          </w:p>
        </w:tc>
        <w:tc>
          <w:tcPr>
            <w:tcW w:w="4694" w:type="dxa"/>
            <w:vAlign w:val="center"/>
          </w:tcPr>
          <w:p w14:paraId="17DF3293">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r>
              <w:rPr>
                <w:rFonts w:hint="default" w:ascii="Times New Roman" w:hAnsi="Times New Roman" w:eastAsia="仿宋_GB2312" w:cstheme="minorBidi"/>
                <w:b w:val="0"/>
                <w:bCs w:val="0"/>
                <w:color w:val="000000"/>
                <w:kern w:val="2"/>
                <w:sz w:val="24"/>
                <w:szCs w:val="24"/>
                <w:lang w:val="en-US" w:eastAsia="zh-CN"/>
              </w:rPr>
              <w:t>广西物产国际贸易有限公司</w:t>
            </w:r>
          </w:p>
        </w:tc>
      </w:tr>
      <w:tr w14:paraId="7138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6F182443">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871" w:type="dxa"/>
            <w:vMerge w:val="continue"/>
            <w:vAlign w:val="center"/>
          </w:tcPr>
          <w:p w14:paraId="787FFA89">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p>
        </w:tc>
        <w:tc>
          <w:tcPr>
            <w:tcW w:w="4694" w:type="dxa"/>
            <w:vAlign w:val="center"/>
          </w:tcPr>
          <w:p w14:paraId="5A42ECFE">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default" w:ascii="Times New Roman" w:hAnsi="Times New Roman" w:eastAsia="仿宋_GB2312" w:cstheme="minorBidi"/>
                <w:b w:val="0"/>
                <w:bCs w:val="0"/>
                <w:color w:val="000000"/>
                <w:kern w:val="2"/>
                <w:sz w:val="24"/>
                <w:szCs w:val="24"/>
                <w:lang w:val="en-US" w:eastAsia="zh-CN"/>
              </w:rPr>
              <w:t>中建三局国际工程公司</w:t>
            </w:r>
          </w:p>
        </w:tc>
      </w:tr>
      <w:tr w14:paraId="6BD3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129B403A">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871" w:type="dxa"/>
            <w:vMerge w:val="continue"/>
            <w:vAlign w:val="center"/>
          </w:tcPr>
          <w:p w14:paraId="5ED4FA8E">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p>
        </w:tc>
        <w:tc>
          <w:tcPr>
            <w:tcW w:w="4694" w:type="dxa"/>
            <w:vAlign w:val="center"/>
          </w:tcPr>
          <w:p w14:paraId="68626BDE">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default" w:ascii="Times New Roman" w:hAnsi="Times New Roman" w:eastAsia="仿宋_GB2312" w:cstheme="minorBidi"/>
                <w:b w:val="0"/>
                <w:bCs w:val="0"/>
                <w:color w:val="000000"/>
                <w:kern w:val="2"/>
                <w:sz w:val="24"/>
                <w:szCs w:val="24"/>
                <w:lang w:val="en-US" w:eastAsia="zh-CN"/>
              </w:rPr>
              <w:t>广西旅发壮美优品有限公司</w:t>
            </w:r>
          </w:p>
        </w:tc>
      </w:tr>
      <w:tr w14:paraId="664F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restart"/>
            <w:vAlign w:val="center"/>
          </w:tcPr>
          <w:p w14:paraId="797169E1">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r>
              <w:rPr>
                <w:rFonts w:hint="eastAsia" w:cstheme="minorBidi"/>
                <w:b w:val="0"/>
                <w:bCs w:val="0"/>
                <w:color w:val="000000"/>
                <w:kern w:val="2"/>
                <w:sz w:val="24"/>
                <w:szCs w:val="24"/>
                <w:lang w:val="en-US" w:eastAsia="zh-CN"/>
              </w:rPr>
              <w:t>3</w:t>
            </w:r>
          </w:p>
        </w:tc>
        <w:tc>
          <w:tcPr>
            <w:tcW w:w="1871" w:type="dxa"/>
            <w:vMerge w:val="restart"/>
            <w:vAlign w:val="center"/>
          </w:tcPr>
          <w:p w14:paraId="10386717">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外资企业</w:t>
            </w:r>
          </w:p>
        </w:tc>
        <w:tc>
          <w:tcPr>
            <w:tcW w:w="4694" w:type="dxa"/>
            <w:vAlign w:val="center"/>
          </w:tcPr>
          <w:p w14:paraId="415E9FFC">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r>
              <w:rPr>
                <w:rFonts w:hint="default" w:ascii="Times New Roman" w:hAnsi="Times New Roman" w:eastAsia="仿宋_GB2312" w:cstheme="minorBidi"/>
                <w:b w:val="0"/>
                <w:bCs w:val="0"/>
                <w:color w:val="000000"/>
                <w:kern w:val="2"/>
                <w:sz w:val="24"/>
                <w:szCs w:val="24"/>
                <w:lang w:val="en-US" w:eastAsia="zh-CN"/>
              </w:rPr>
              <w:t>VETSTAR (M) SDN BHD</w:t>
            </w:r>
            <w:r>
              <w:rPr>
                <w:rFonts w:hint="eastAsia" w:cstheme="minorBidi"/>
                <w:b w:val="0"/>
                <w:bCs w:val="0"/>
                <w:color w:val="000000"/>
                <w:kern w:val="2"/>
                <w:sz w:val="24"/>
                <w:szCs w:val="24"/>
                <w:lang w:val="en-US" w:eastAsia="zh-CN"/>
              </w:rPr>
              <w:t>（马来西亚）</w:t>
            </w:r>
          </w:p>
        </w:tc>
      </w:tr>
      <w:tr w14:paraId="276C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6BEAFB23">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871" w:type="dxa"/>
            <w:vMerge w:val="continue"/>
            <w:vAlign w:val="center"/>
          </w:tcPr>
          <w:p w14:paraId="376C9E90">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p>
        </w:tc>
        <w:tc>
          <w:tcPr>
            <w:tcW w:w="4694" w:type="dxa"/>
            <w:vAlign w:val="center"/>
          </w:tcPr>
          <w:p w14:paraId="5D520916">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default" w:ascii="Times New Roman" w:hAnsi="Times New Roman" w:eastAsia="仿宋_GB2312" w:cstheme="minorBidi"/>
                <w:b w:val="0"/>
                <w:bCs w:val="0"/>
                <w:color w:val="000000"/>
                <w:kern w:val="2"/>
                <w:sz w:val="24"/>
                <w:szCs w:val="24"/>
                <w:lang w:val="en-US" w:eastAsia="zh-CN"/>
              </w:rPr>
              <w:t>香港运佳投资有限公司</w:t>
            </w:r>
            <w:r>
              <w:rPr>
                <w:rFonts w:hint="eastAsia" w:cstheme="minorBidi"/>
                <w:b w:val="0"/>
                <w:bCs w:val="0"/>
                <w:color w:val="000000"/>
                <w:kern w:val="2"/>
                <w:sz w:val="24"/>
                <w:szCs w:val="24"/>
                <w:lang w:val="en-US" w:eastAsia="zh-CN"/>
              </w:rPr>
              <w:t>（香港）</w:t>
            </w:r>
          </w:p>
        </w:tc>
      </w:tr>
      <w:tr w14:paraId="69E5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020FB471">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p>
        </w:tc>
        <w:tc>
          <w:tcPr>
            <w:tcW w:w="1871" w:type="dxa"/>
            <w:vMerge w:val="continue"/>
            <w:vAlign w:val="center"/>
          </w:tcPr>
          <w:p w14:paraId="464B5C18">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p>
        </w:tc>
        <w:tc>
          <w:tcPr>
            <w:tcW w:w="4694" w:type="dxa"/>
            <w:vAlign w:val="center"/>
          </w:tcPr>
          <w:p w14:paraId="48B0E9AE">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default" w:ascii="Times New Roman" w:hAnsi="Times New Roman" w:eastAsia="仿宋_GB2312" w:cstheme="minorBidi"/>
                <w:b w:val="0"/>
                <w:bCs w:val="0"/>
                <w:color w:val="000000"/>
                <w:kern w:val="2"/>
                <w:sz w:val="24"/>
                <w:szCs w:val="24"/>
                <w:lang w:val="en-US" w:eastAsia="zh-CN"/>
              </w:rPr>
              <w:t>汇达国际（马）贸易有限公司</w:t>
            </w:r>
            <w:r>
              <w:rPr>
                <w:rFonts w:hint="eastAsia" w:cstheme="minorBidi"/>
                <w:b w:val="0"/>
                <w:bCs w:val="0"/>
                <w:color w:val="000000"/>
                <w:kern w:val="2"/>
                <w:sz w:val="24"/>
                <w:szCs w:val="24"/>
                <w:lang w:val="en-US" w:eastAsia="zh-CN"/>
              </w:rPr>
              <w:t>（马来西亚）</w:t>
            </w:r>
          </w:p>
        </w:tc>
      </w:tr>
      <w:tr w14:paraId="04F4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restart"/>
            <w:vAlign w:val="center"/>
          </w:tcPr>
          <w:p w14:paraId="6914B1CA">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14</w:t>
            </w:r>
          </w:p>
        </w:tc>
        <w:tc>
          <w:tcPr>
            <w:tcW w:w="1871" w:type="dxa"/>
            <w:vMerge w:val="restart"/>
            <w:vAlign w:val="center"/>
          </w:tcPr>
          <w:p w14:paraId="57425917">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民营企业</w:t>
            </w:r>
          </w:p>
        </w:tc>
        <w:tc>
          <w:tcPr>
            <w:tcW w:w="4694" w:type="dxa"/>
            <w:shd w:val="clear" w:color="auto" w:fill="auto"/>
            <w:vAlign w:val="center"/>
          </w:tcPr>
          <w:p w14:paraId="183F6F7F">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广西盈川国际贸易有限公司</w:t>
            </w:r>
          </w:p>
        </w:tc>
      </w:tr>
      <w:tr w14:paraId="3FCE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 w:type="dxa"/>
            <w:vMerge w:val="continue"/>
            <w:vAlign w:val="center"/>
          </w:tcPr>
          <w:p w14:paraId="34CA6FAC">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78FF343E">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0AB72113">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广西自贸区滨海国际经贸有限公司</w:t>
            </w:r>
          </w:p>
        </w:tc>
      </w:tr>
      <w:tr w14:paraId="65DA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479A98FC">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6181D111">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4E86653B">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皇氏广西贸易有限公司</w:t>
            </w:r>
          </w:p>
        </w:tc>
      </w:tr>
      <w:tr w14:paraId="67D5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31018506">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2F339390">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10EF5C3E">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广西广润医药有限公司</w:t>
            </w:r>
          </w:p>
        </w:tc>
      </w:tr>
      <w:tr w14:paraId="026D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2E989EF5">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2D4D70A8">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057E2D44">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广西钦保国际贸易有限公司</w:t>
            </w:r>
          </w:p>
        </w:tc>
      </w:tr>
      <w:tr w14:paraId="4A6A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16C79AF0">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5A812834">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14EACE5D">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南宁市峰扬天翔贸易有限责任公司</w:t>
            </w:r>
          </w:p>
        </w:tc>
      </w:tr>
      <w:tr w14:paraId="527D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1AAD8256">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3A75B390">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4F68D3E1">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海宁姬凡娜商贸有限公司</w:t>
            </w:r>
          </w:p>
        </w:tc>
      </w:tr>
      <w:tr w14:paraId="5D71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1107AC4C">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2DFC4DEA">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6FB4D305">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北海东红制革有限公司</w:t>
            </w:r>
          </w:p>
        </w:tc>
      </w:tr>
      <w:tr w14:paraId="1678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1B38BA09">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775C20A6">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68EC5A3F">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广西宏源国际物流有限公司</w:t>
            </w:r>
          </w:p>
        </w:tc>
      </w:tr>
      <w:tr w14:paraId="299F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3EA82A04">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1BA50DD0">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2B9C89BA">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南宁嘉顺达物流有限公司</w:t>
            </w:r>
          </w:p>
        </w:tc>
      </w:tr>
      <w:tr w14:paraId="3157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4592E057">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4E53CFCC">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0CEBA826">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广西泛航国际物流有限公司</w:t>
            </w:r>
          </w:p>
        </w:tc>
      </w:tr>
      <w:tr w14:paraId="5C21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784636A6">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682522E6">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255E7A93">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海程邦达国际物流有限公司广西分公司</w:t>
            </w:r>
          </w:p>
        </w:tc>
      </w:tr>
      <w:tr w14:paraId="7692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1F5AB9E2">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3A04F70B">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6BB3C4FC">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皇氏赛尔生物科技（广西）有限公司</w:t>
            </w:r>
          </w:p>
        </w:tc>
      </w:tr>
      <w:tr w14:paraId="1675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vAlign w:val="center"/>
          </w:tcPr>
          <w:p w14:paraId="11D9DA06">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zh-CN"/>
              </w:rPr>
            </w:pPr>
          </w:p>
        </w:tc>
        <w:tc>
          <w:tcPr>
            <w:tcW w:w="1871" w:type="dxa"/>
            <w:vMerge w:val="continue"/>
            <w:vAlign w:val="center"/>
          </w:tcPr>
          <w:p w14:paraId="20EC6E56">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rPr>
            </w:pPr>
          </w:p>
        </w:tc>
        <w:tc>
          <w:tcPr>
            <w:tcW w:w="4694" w:type="dxa"/>
            <w:shd w:val="clear" w:color="auto" w:fill="auto"/>
            <w:vAlign w:val="center"/>
          </w:tcPr>
          <w:p w14:paraId="70F15298">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zh-CN" w:eastAsia="zh-CN" w:bidi="ar-SA"/>
              </w:rPr>
            </w:pPr>
            <w:r>
              <w:rPr>
                <w:rFonts w:hint="default" w:ascii="Times New Roman" w:hAnsi="Times New Roman" w:eastAsia="仿宋_GB2312" w:cstheme="minorBidi"/>
                <w:b w:val="0"/>
                <w:bCs w:val="0"/>
                <w:color w:val="000000"/>
                <w:kern w:val="2"/>
                <w:sz w:val="24"/>
                <w:szCs w:val="24"/>
                <w:lang w:val="en-US" w:eastAsia="zh-CN"/>
              </w:rPr>
              <w:t>南宁嘉晟福进出口贸易有限公司</w:t>
            </w:r>
          </w:p>
        </w:tc>
      </w:tr>
    </w:tbl>
    <w:p w14:paraId="7DF63B12">
      <w:pPr>
        <w:spacing w:line="560" w:lineRule="exact"/>
        <w:ind w:firstLine="640" w:firstLineChars="200"/>
        <w:rPr>
          <w:rFonts w:hint="eastAsia" w:ascii="Times New Roman" w:hAnsi="Times New Roman" w:eastAsia="仿宋_GB2312"/>
          <w:color w:val="000000"/>
          <w:sz w:val="32"/>
          <w:szCs w:val="32"/>
          <w:lang w:val="zh-CN"/>
        </w:rPr>
      </w:pPr>
      <w:r>
        <w:rPr>
          <w:rFonts w:hint="eastAsia" w:ascii="Times New Roman" w:hAnsi="Times New Roman" w:eastAsia="仿宋_GB2312"/>
          <w:color w:val="000000"/>
          <w:sz w:val="32"/>
          <w:szCs w:val="32"/>
          <w:lang w:val="zh-CN"/>
        </w:rPr>
        <w:t>调研对象一是企业的高层管理人员，此类人员对外贸行业的发展动态和外部形势有深刻理解，对外贸人才综合素质的要求非常熟悉；二是业务部门负责人，此类人员长期从事专业性工作，与一线员工接触较多，对具体业务素质和能力要求非常熟悉；三是企业人力资源部门负责人，此类人员直接负责外贸人才的招聘工作，对学生的情况较为了解。</w:t>
      </w:r>
    </w:p>
    <w:p w14:paraId="4C69650C">
      <w:pPr>
        <w:pStyle w:val="4"/>
        <w:ind w:firstLine="640"/>
        <w:rPr>
          <w:rFonts w:hint="default" w:ascii="仿宋" w:hAnsi="仿宋" w:eastAsia="仿宋" w:cs="仿宋"/>
          <w:sz w:val="32"/>
          <w:szCs w:val="32"/>
          <w:lang w:val="en-US" w:bidi="zh-CN"/>
        </w:rPr>
      </w:pPr>
      <w:r>
        <w:rPr>
          <w:rFonts w:hint="eastAsia" w:ascii="仿宋" w:hAnsi="仿宋" w:eastAsia="仿宋"/>
          <w:kern w:val="2"/>
          <w:sz w:val="32"/>
          <w:szCs w:val="32"/>
          <w:lang w:val="en-US" w:eastAsia="zh-CN"/>
        </w:rPr>
        <w:t>2</w:t>
      </w:r>
      <w:r>
        <w:rPr>
          <w:rFonts w:hint="eastAsia" w:ascii="仿宋" w:hAnsi="仿宋" w:eastAsia="仿宋"/>
          <w:kern w:val="2"/>
          <w:sz w:val="32"/>
          <w:szCs w:val="32"/>
        </w:rPr>
        <w:t>.</w:t>
      </w:r>
      <w:r>
        <w:rPr>
          <w:rFonts w:hint="eastAsia" w:ascii="仿宋" w:hAnsi="仿宋" w:eastAsia="仿宋" w:cs="仿宋"/>
          <w:sz w:val="32"/>
          <w:szCs w:val="32"/>
          <w:lang w:val="zh-CN" w:bidi="zh-CN"/>
        </w:rPr>
        <w:t>专业在校生</w:t>
      </w:r>
      <w:r>
        <w:rPr>
          <w:rFonts w:hint="eastAsia" w:ascii="仿宋" w:hAnsi="仿宋" w:eastAsia="仿宋" w:cs="仿宋"/>
          <w:sz w:val="32"/>
          <w:szCs w:val="32"/>
          <w:lang w:val="en-US" w:bidi="zh-CN"/>
        </w:rPr>
        <w:t>和毕业生</w:t>
      </w:r>
    </w:p>
    <w:p w14:paraId="600CC568">
      <w:pPr>
        <w:snapToGrid/>
        <w:spacing w:before="0" w:after="0" w:line="240" w:lineRule="auto"/>
        <w:ind w:left="0" w:right="0" w:firstLine="480" w:firstLineChars="150"/>
        <w:jc w:val="both"/>
        <w:rPr>
          <w:rFonts w:hint="eastAsia" w:ascii="仿宋" w:hAnsi="仿宋" w:eastAsia="仿宋" w:cs="仿宋"/>
          <w:i w:val="0"/>
          <w:strike w:val="0"/>
          <w:color w:val="000000"/>
          <w:sz w:val="32"/>
          <w:u w:val="none"/>
        </w:rPr>
      </w:pPr>
      <w:r>
        <w:rPr>
          <w:rFonts w:hint="eastAsia" w:ascii="仿宋" w:hAnsi="仿宋" w:eastAsia="仿宋" w:cs="仿宋"/>
          <w:i w:val="0"/>
          <w:strike w:val="0"/>
          <w:color w:val="000000"/>
          <w:sz w:val="32"/>
          <w:u w:val="none"/>
        </w:rPr>
        <w:t>本次调研面向南宁职业技术大学国际经济与贸易专业的</w:t>
      </w:r>
      <w:r>
        <w:rPr>
          <w:rFonts w:hint="eastAsia" w:ascii="仿宋" w:hAnsi="仿宋" w:eastAsia="仿宋" w:cs="仿宋"/>
          <w:i w:val="0"/>
          <w:strike w:val="0"/>
          <w:color w:val="000000"/>
          <w:sz w:val="32"/>
          <w:u w:val="none"/>
          <w:lang w:val="en-US" w:eastAsia="zh-CN"/>
        </w:rPr>
        <w:t>专科</w:t>
      </w:r>
      <w:r>
        <w:rPr>
          <w:rFonts w:hint="eastAsia" w:ascii="仿宋" w:hAnsi="仿宋" w:eastAsia="仿宋" w:cs="仿宋"/>
          <w:i w:val="0"/>
          <w:strike w:val="0"/>
          <w:color w:val="000000"/>
          <w:sz w:val="32"/>
          <w:u w:val="none"/>
        </w:rPr>
        <w:t>学生，涵盖</w:t>
      </w:r>
      <w:r>
        <w:rPr>
          <w:rFonts w:hint="eastAsia" w:ascii="仿宋" w:hAnsi="仿宋" w:eastAsia="仿宋" w:cs="仿宋"/>
          <w:i w:val="0"/>
          <w:strike w:val="0"/>
          <w:color w:val="000000"/>
          <w:sz w:val="32"/>
          <w:u w:val="none"/>
          <w:lang w:val="en-US" w:eastAsia="zh-CN"/>
        </w:rPr>
        <w:t>2022-2024</w:t>
      </w:r>
      <w:r>
        <w:rPr>
          <w:rFonts w:hint="eastAsia" w:ascii="仿宋" w:hAnsi="仿宋" w:eastAsia="仿宋" w:cs="仿宋"/>
          <w:i w:val="0"/>
          <w:strike w:val="0"/>
          <w:color w:val="000000"/>
          <w:sz w:val="32"/>
          <w:u w:val="none"/>
        </w:rPr>
        <w:t>不同年级</w:t>
      </w:r>
      <w:r>
        <w:rPr>
          <w:rFonts w:hint="eastAsia" w:ascii="仿宋" w:hAnsi="仿宋" w:eastAsia="仿宋" w:cs="仿宋"/>
          <w:i w:val="0"/>
          <w:strike w:val="0"/>
          <w:color w:val="000000"/>
          <w:sz w:val="32"/>
          <w:u w:val="none"/>
          <w:lang w:val="en-US" w:eastAsia="zh-CN"/>
        </w:rPr>
        <w:t>和</w:t>
      </w:r>
      <w:r>
        <w:rPr>
          <w:rFonts w:hint="eastAsia" w:ascii="仿宋" w:hAnsi="仿宋" w:eastAsia="仿宋" w:cs="仿宋"/>
          <w:i w:val="0"/>
          <w:strike w:val="0"/>
          <w:color w:val="000000"/>
          <w:sz w:val="32"/>
          <w:u w:val="none"/>
        </w:rPr>
        <w:t>已毕业</w:t>
      </w:r>
      <w:r>
        <w:rPr>
          <w:rFonts w:hint="eastAsia" w:ascii="仿宋" w:hAnsi="仿宋" w:eastAsia="仿宋" w:cs="仿宋"/>
          <w:i w:val="0"/>
          <w:strike w:val="0"/>
          <w:color w:val="000000"/>
          <w:sz w:val="32"/>
          <w:u w:val="none"/>
          <w:lang w:eastAsia="zh-CN"/>
        </w:rPr>
        <w:t>的</w:t>
      </w:r>
      <w:r>
        <w:rPr>
          <w:rFonts w:hint="eastAsia" w:ascii="仿宋" w:hAnsi="仿宋" w:eastAsia="仿宋" w:cs="仿宋"/>
          <w:i w:val="0"/>
          <w:strike w:val="0"/>
          <w:color w:val="000000"/>
          <w:sz w:val="32"/>
          <w:u w:val="none"/>
        </w:rPr>
        <w:t>学生。具体分布如下：</w:t>
      </w:r>
    </w:p>
    <w:p w14:paraId="7F91AD2C">
      <w:pPr>
        <w:snapToGrid/>
        <w:spacing w:before="0" w:after="0" w:line="240" w:lineRule="auto"/>
        <w:ind w:left="0" w:right="0" w:firstLine="422" w:firstLineChars="150"/>
        <w:jc w:val="center"/>
        <w:rPr>
          <w:rFonts w:hint="default" w:ascii="仿宋" w:hAnsi="仿宋" w:eastAsia="仿宋" w:cs="仿宋"/>
          <w:b/>
          <w:bCs/>
          <w:i w:val="0"/>
          <w:strike w:val="0"/>
          <w:color w:val="000000"/>
          <w:sz w:val="28"/>
          <w:szCs w:val="28"/>
          <w:u w:val="none"/>
          <w:lang w:val="en-US" w:eastAsia="zh-CN"/>
        </w:rPr>
      </w:pPr>
      <w:r>
        <w:rPr>
          <w:rFonts w:hint="eastAsia" w:ascii="仿宋" w:hAnsi="仿宋" w:eastAsia="仿宋" w:cs="仿宋"/>
          <w:b/>
          <w:bCs/>
          <w:i w:val="0"/>
          <w:strike w:val="0"/>
          <w:color w:val="000000"/>
          <w:sz w:val="28"/>
          <w:szCs w:val="28"/>
          <w:u w:val="none"/>
          <w:lang w:val="en-US" w:eastAsia="zh-CN"/>
        </w:rPr>
        <w:t>表2-2调研的学生分布</w:t>
      </w:r>
    </w:p>
    <w:tbl>
      <w:tblPr>
        <w:tblStyle w:val="10"/>
        <w:tblW w:w="4552" w:type="pct"/>
        <w:tblInd w:w="762"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332"/>
        <w:gridCol w:w="2239"/>
        <w:gridCol w:w="3187"/>
      </w:tblGrid>
      <w:tr w14:paraId="73BA14B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333" w:type="dxa"/>
            <w:shd w:val="clear" w:color="auto" w:fill="F5F5F5"/>
            <w:vAlign w:val="center"/>
          </w:tcPr>
          <w:p w14:paraId="6583932F">
            <w:pPr>
              <w:jc w:val="left"/>
              <w:rPr>
                <w:sz w:val="24"/>
                <w:szCs w:val="24"/>
              </w:rPr>
            </w:pPr>
            <w:r>
              <w:rPr>
                <w:sz w:val="24"/>
                <w:szCs w:val="24"/>
              </w:rPr>
              <w:t>选项</w:t>
            </w:r>
          </w:p>
        </w:tc>
        <w:tc>
          <w:tcPr>
            <w:tcW w:w="2240" w:type="dxa"/>
            <w:shd w:val="clear" w:color="auto" w:fill="F5F5F5"/>
            <w:vAlign w:val="center"/>
          </w:tcPr>
          <w:p w14:paraId="141A419C">
            <w:pPr>
              <w:jc w:val="center"/>
              <w:rPr>
                <w:sz w:val="24"/>
                <w:szCs w:val="24"/>
              </w:rPr>
            </w:pPr>
            <w:r>
              <w:rPr>
                <w:sz w:val="24"/>
                <w:szCs w:val="24"/>
              </w:rPr>
              <w:t>小计</w:t>
            </w:r>
          </w:p>
        </w:tc>
        <w:tc>
          <w:tcPr>
            <w:tcW w:w="3187" w:type="dxa"/>
            <w:shd w:val="clear" w:color="auto" w:fill="F5F5F5"/>
            <w:vAlign w:val="center"/>
          </w:tcPr>
          <w:p w14:paraId="4EEC4CF0">
            <w:pPr>
              <w:jc w:val="left"/>
              <w:rPr>
                <w:sz w:val="24"/>
                <w:szCs w:val="24"/>
              </w:rPr>
            </w:pPr>
            <w:r>
              <w:rPr>
                <w:sz w:val="24"/>
                <w:szCs w:val="24"/>
              </w:rPr>
              <w:t>比例</w:t>
            </w:r>
          </w:p>
        </w:tc>
      </w:tr>
      <w:tr w14:paraId="3C125DE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333" w:type="dxa"/>
            <w:shd w:val="clear" w:color="auto" w:fill="FFFFFF"/>
            <w:vAlign w:val="center"/>
          </w:tcPr>
          <w:p w14:paraId="1CC70C1F">
            <w:pPr>
              <w:jc w:val="left"/>
              <w:rPr>
                <w:sz w:val="24"/>
                <w:szCs w:val="24"/>
              </w:rPr>
            </w:pPr>
            <w:r>
              <w:rPr>
                <w:sz w:val="24"/>
                <w:szCs w:val="24"/>
              </w:rPr>
              <w:t>22级</w:t>
            </w:r>
          </w:p>
        </w:tc>
        <w:tc>
          <w:tcPr>
            <w:tcW w:w="2240" w:type="dxa"/>
            <w:shd w:val="clear" w:color="auto" w:fill="FFFFFF"/>
            <w:vAlign w:val="center"/>
          </w:tcPr>
          <w:p w14:paraId="31452B35">
            <w:pPr>
              <w:jc w:val="center"/>
              <w:rPr>
                <w:sz w:val="24"/>
                <w:szCs w:val="24"/>
              </w:rPr>
            </w:pPr>
            <w:r>
              <w:rPr>
                <w:sz w:val="24"/>
                <w:szCs w:val="24"/>
              </w:rPr>
              <w:t>22</w:t>
            </w:r>
          </w:p>
        </w:tc>
        <w:tc>
          <w:tcPr>
            <w:tcW w:w="3187" w:type="dxa"/>
            <w:shd w:val="clear" w:color="auto" w:fill="FFFFFF"/>
            <w:vAlign w:val="center"/>
          </w:tcPr>
          <w:p w14:paraId="311301FC">
            <w:pPr>
              <w:jc w:val="left"/>
              <w:rPr>
                <w:sz w:val="24"/>
                <w:szCs w:val="24"/>
              </w:rPr>
            </w:pPr>
            <w:r>
              <w:rPr>
                <w:sz w:val="24"/>
                <w:szCs w:val="24"/>
              </w:rPr>
              <w:drawing>
                <wp:inline distT="0" distB="0" distL="114300" distR="114300">
                  <wp:extent cx="381000" cy="1143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5"/>
                          <a:stretch>
                            <a:fillRect/>
                          </a:stretch>
                        </pic:blipFill>
                        <pic:spPr>
                          <a:xfrm>
                            <a:off x="0" y="0"/>
                            <a:ext cx="381053" cy="114316"/>
                          </a:xfrm>
                          <a:prstGeom prst="rect">
                            <a:avLst/>
                          </a:prstGeom>
                        </pic:spPr>
                      </pic:pic>
                    </a:graphicData>
                  </a:graphic>
                </wp:inline>
              </w:drawing>
            </w:r>
            <w:r>
              <w:rPr>
                <w:sz w:val="24"/>
                <w:szCs w:val="24"/>
              </w:rPr>
              <w:drawing>
                <wp:inline distT="0" distB="0" distL="114300" distR="114300">
                  <wp:extent cx="971550" cy="11430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6"/>
                          <a:stretch>
                            <a:fillRect/>
                          </a:stretch>
                        </pic:blipFill>
                        <pic:spPr>
                          <a:xfrm>
                            <a:off x="0" y="0"/>
                            <a:ext cx="971686" cy="114316"/>
                          </a:xfrm>
                          <a:prstGeom prst="rect">
                            <a:avLst/>
                          </a:prstGeom>
                        </pic:spPr>
                      </pic:pic>
                    </a:graphicData>
                  </a:graphic>
                </wp:inline>
              </w:drawing>
            </w:r>
            <w:r>
              <w:rPr>
                <w:sz w:val="24"/>
                <w:szCs w:val="24"/>
              </w:rPr>
              <w:t>28.21%</w:t>
            </w:r>
          </w:p>
        </w:tc>
      </w:tr>
      <w:tr w14:paraId="5749A23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333" w:type="dxa"/>
            <w:shd w:val="clear" w:color="auto" w:fill="FAFAFA"/>
            <w:vAlign w:val="center"/>
          </w:tcPr>
          <w:p w14:paraId="7EB4AC63">
            <w:pPr>
              <w:jc w:val="left"/>
              <w:rPr>
                <w:sz w:val="24"/>
                <w:szCs w:val="24"/>
              </w:rPr>
            </w:pPr>
            <w:r>
              <w:rPr>
                <w:sz w:val="24"/>
                <w:szCs w:val="24"/>
              </w:rPr>
              <w:t>23级</w:t>
            </w:r>
          </w:p>
        </w:tc>
        <w:tc>
          <w:tcPr>
            <w:tcW w:w="2240" w:type="dxa"/>
            <w:shd w:val="clear" w:color="auto" w:fill="FAFAFA"/>
            <w:vAlign w:val="center"/>
          </w:tcPr>
          <w:p w14:paraId="30487C1D">
            <w:pPr>
              <w:jc w:val="center"/>
              <w:rPr>
                <w:sz w:val="24"/>
                <w:szCs w:val="24"/>
              </w:rPr>
            </w:pPr>
            <w:r>
              <w:rPr>
                <w:sz w:val="24"/>
                <w:szCs w:val="24"/>
              </w:rPr>
              <w:t>9</w:t>
            </w:r>
          </w:p>
        </w:tc>
        <w:tc>
          <w:tcPr>
            <w:tcW w:w="3187" w:type="dxa"/>
            <w:shd w:val="clear" w:color="auto" w:fill="FAFAFA"/>
            <w:vAlign w:val="center"/>
          </w:tcPr>
          <w:p w14:paraId="771EC107">
            <w:pPr>
              <w:jc w:val="left"/>
              <w:rPr>
                <w:sz w:val="24"/>
                <w:szCs w:val="24"/>
              </w:rPr>
            </w:pPr>
            <w:r>
              <w:rPr>
                <w:sz w:val="24"/>
                <w:szCs w:val="24"/>
              </w:rPr>
              <w:drawing>
                <wp:inline distT="0" distB="0" distL="114300" distR="114300">
                  <wp:extent cx="152400" cy="1143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7"/>
                          <a:stretch>
                            <a:fillRect/>
                          </a:stretch>
                        </pic:blipFill>
                        <pic:spPr>
                          <a:xfrm>
                            <a:off x="0" y="0"/>
                            <a:ext cx="152421" cy="114316"/>
                          </a:xfrm>
                          <a:prstGeom prst="rect">
                            <a:avLst/>
                          </a:prstGeom>
                        </pic:spPr>
                      </pic:pic>
                    </a:graphicData>
                  </a:graphic>
                </wp:inline>
              </w:drawing>
            </w:r>
            <w:r>
              <w:rPr>
                <w:sz w:val="24"/>
                <w:szCs w:val="24"/>
              </w:rPr>
              <w:drawing>
                <wp:inline distT="0" distB="0" distL="114300" distR="114300">
                  <wp:extent cx="1200150" cy="11430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8"/>
                          <a:stretch>
                            <a:fillRect/>
                          </a:stretch>
                        </pic:blipFill>
                        <pic:spPr>
                          <a:xfrm>
                            <a:off x="0" y="0"/>
                            <a:ext cx="1200318" cy="114316"/>
                          </a:xfrm>
                          <a:prstGeom prst="rect">
                            <a:avLst/>
                          </a:prstGeom>
                        </pic:spPr>
                      </pic:pic>
                    </a:graphicData>
                  </a:graphic>
                </wp:inline>
              </w:drawing>
            </w:r>
            <w:r>
              <w:rPr>
                <w:sz w:val="24"/>
                <w:szCs w:val="24"/>
              </w:rPr>
              <w:t>11.54%</w:t>
            </w:r>
          </w:p>
        </w:tc>
      </w:tr>
      <w:tr w14:paraId="7251C56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333" w:type="dxa"/>
            <w:shd w:val="clear" w:color="auto" w:fill="FFFFFF"/>
            <w:vAlign w:val="center"/>
          </w:tcPr>
          <w:p w14:paraId="53313D81">
            <w:pPr>
              <w:jc w:val="left"/>
              <w:rPr>
                <w:sz w:val="24"/>
                <w:szCs w:val="24"/>
              </w:rPr>
            </w:pPr>
            <w:r>
              <w:rPr>
                <w:sz w:val="24"/>
                <w:szCs w:val="24"/>
              </w:rPr>
              <w:t>24级</w:t>
            </w:r>
          </w:p>
        </w:tc>
        <w:tc>
          <w:tcPr>
            <w:tcW w:w="2240" w:type="dxa"/>
            <w:shd w:val="clear" w:color="auto" w:fill="FFFFFF"/>
            <w:vAlign w:val="center"/>
          </w:tcPr>
          <w:p w14:paraId="3686793E">
            <w:pPr>
              <w:jc w:val="center"/>
              <w:rPr>
                <w:sz w:val="24"/>
                <w:szCs w:val="24"/>
              </w:rPr>
            </w:pPr>
            <w:r>
              <w:rPr>
                <w:sz w:val="24"/>
                <w:szCs w:val="24"/>
              </w:rPr>
              <w:t>27</w:t>
            </w:r>
          </w:p>
        </w:tc>
        <w:tc>
          <w:tcPr>
            <w:tcW w:w="3187" w:type="dxa"/>
            <w:shd w:val="clear" w:color="auto" w:fill="FFFFFF"/>
            <w:vAlign w:val="center"/>
          </w:tcPr>
          <w:p w14:paraId="780C57EF">
            <w:pPr>
              <w:jc w:val="left"/>
              <w:rPr>
                <w:sz w:val="24"/>
                <w:szCs w:val="24"/>
              </w:rPr>
            </w:pPr>
            <w:r>
              <w:rPr>
                <w:sz w:val="24"/>
                <w:szCs w:val="24"/>
              </w:rPr>
              <w:drawing>
                <wp:inline distT="0" distB="0" distL="114300" distR="114300">
                  <wp:extent cx="466725" cy="11430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9"/>
                          <a:stretch>
                            <a:fillRect/>
                          </a:stretch>
                        </pic:blipFill>
                        <pic:spPr>
                          <a:xfrm>
                            <a:off x="0" y="0"/>
                            <a:ext cx="466790" cy="114316"/>
                          </a:xfrm>
                          <a:prstGeom prst="rect">
                            <a:avLst/>
                          </a:prstGeom>
                        </pic:spPr>
                      </pic:pic>
                    </a:graphicData>
                  </a:graphic>
                </wp:inline>
              </w:drawing>
            </w:r>
            <w:r>
              <w:rPr>
                <w:sz w:val="24"/>
                <w:szCs w:val="24"/>
              </w:rPr>
              <w:drawing>
                <wp:inline distT="0" distB="0" distL="114300" distR="114300">
                  <wp:extent cx="885825" cy="114300"/>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0"/>
                          <a:stretch>
                            <a:fillRect/>
                          </a:stretch>
                        </pic:blipFill>
                        <pic:spPr>
                          <a:xfrm>
                            <a:off x="0" y="0"/>
                            <a:ext cx="885949" cy="114316"/>
                          </a:xfrm>
                          <a:prstGeom prst="rect">
                            <a:avLst/>
                          </a:prstGeom>
                        </pic:spPr>
                      </pic:pic>
                    </a:graphicData>
                  </a:graphic>
                </wp:inline>
              </w:drawing>
            </w:r>
            <w:r>
              <w:rPr>
                <w:sz w:val="24"/>
                <w:szCs w:val="24"/>
              </w:rPr>
              <w:t>34.62%</w:t>
            </w:r>
          </w:p>
        </w:tc>
      </w:tr>
      <w:tr w14:paraId="50D0023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333" w:type="dxa"/>
            <w:shd w:val="clear" w:color="auto" w:fill="FAFAFA"/>
            <w:vAlign w:val="center"/>
          </w:tcPr>
          <w:p w14:paraId="7D97C4DA">
            <w:pPr>
              <w:jc w:val="left"/>
              <w:rPr>
                <w:sz w:val="24"/>
                <w:szCs w:val="24"/>
              </w:rPr>
            </w:pPr>
            <w:r>
              <w:rPr>
                <w:sz w:val="24"/>
                <w:szCs w:val="24"/>
              </w:rPr>
              <w:t>已毕业学生</w:t>
            </w:r>
          </w:p>
        </w:tc>
        <w:tc>
          <w:tcPr>
            <w:tcW w:w="2240" w:type="dxa"/>
            <w:shd w:val="clear" w:color="auto" w:fill="FAFAFA"/>
            <w:vAlign w:val="center"/>
          </w:tcPr>
          <w:p w14:paraId="62E70ADF">
            <w:pPr>
              <w:jc w:val="center"/>
              <w:rPr>
                <w:sz w:val="24"/>
                <w:szCs w:val="24"/>
              </w:rPr>
            </w:pPr>
            <w:r>
              <w:rPr>
                <w:sz w:val="24"/>
                <w:szCs w:val="24"/>
              </w:rPr>
              <w:t>20</w:t>
            </w:r>
          </w:p>
        </w:tc>
        <w:tc>
          <w:tcPr>
            <w:tcW w:w="3187" w:type="dxa"/>
            <w:shd w:val="clear" w:color="auto" w:fill="FAFAFA"/>
            <w:vAlign w:val="center"/>
          </w:tcPr>
          <w:p w14:paraId="49CFCB43">
            <w:pPr>
              <w:jc w:val="left"/>
              <w:rPr>
                <w:sz w:val="24"/>
                <w:szCs w:val="24"/>
              </w:rPr>
            </w:pPr>
            <w:r>
              <w:rPr>
                <w:sz w:val="24"/>
                <w:szCs w:val="24"/>
              </w:rPr>
              <w:drawing>
                <wp:inline distT="0" distB="0" distL="114300" distR="114300">
                  <wp:extent cx="342900" cy="1143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1"/>
                          <a:stretch>
                            <a:fillRect/>
                          </a:stretch>
                        </pic:blipFill>
                        <pic:spPr>
                          <a:xfrm>
                            <a:off x="0" y="0"/>
                            <a:ext cx="342948" cy="114316"/>
                          </a:xfrm>
                          <a:prstGeom prst="rect">
                            <a:avLst/>
                          </a:prstGeom>
                        </pic:spPr>
                      </pic:pic>
                    </a:graphicData>
                  </a:graphic>
                </wp:inline>
              </w:drawing>
            </w:r>
            <w:r>
              <w:rPr>
                <w:sz w:val="24"/>
                <w:szCs w:val="24"/>
              </w:rPr>
              <w:drawing>
                <wp:inline distT="0" distB="0" distL="114300" distR="114300">
                  <wp:extent cx="1009650" cy="1143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2"/>
                          <a:stretch>
                            <a:fillRect/>
                          </a:stretch>
                        </pic:blipFill>
                        <pic:spPr>
                          <a:xfrm>
                            <a:off x="0" y="0"/>
                            <a:ext cx="1009791" cy="114316"/>
                          </a:xfrm>
                          <a:prstGeom prst="rect">
                            <a:avLst/>
                          </a:prstGeom>
                        </pic:spPr>
                      </pic:pic>
                    </a:graphicData>
                  </a:graphic>
                </wp:inline>
              </w:drawing>
            </w:r>
            <w:r>
              <w:rPr>
                <w:sz w:val="24"/>
                <w:szCs w:val="24"/>
              </w:rPr>
              <w:t>25.64%</w:t>
            </w:r>
          </w:p>
        </w:tc>
      </w:tr>
      <w:tr w14:paraId="67BFD49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333" w:type="dxa"/>
            <w:shd w:val="clear" w:color="auto" w:fill="F5F5F5"/>
            <w:vAlign w:val="center"/>
          </w:tcPr>
          <w:p w14:paraId="056E2D22">
            <w:pPr>
              <w:jc w:val="left"/>
              <w:rPr>
                <w:sz w:val="24"/>
                <w:szCs w:val="24"/>
              </w:rPr>
            </w:pPr>
            <w:r>
              <w:rPr>
                <w:sz w:val="24"/>
                <w:szCs w:val="24"/>
              </w:rPr>
              <w:t>有效填写人次</w:t>
            </w:r>
          </w:p>
        </w:tc>
        <w:tc>
          <w:tcPr>
            <w:tcW w:w="2240" w:type="dxa"/>
            <w:shd w:val="clear" w:color="auto" w:fill="F5F5F5"/>
            <w:vAlign w:val="center"/>
          </w:tcPr>
          <w:p w14:paraId="234CAD4C">
            <w:pPr>
              <w:jc w:val="center"/>
              <w:rPr>
                <w:sz w:val="24"/>
                <w:szCs w:val="24"/>
              </w:rPr>
            </w:pPr>
            <w:r>
              <w:rPr>
                <w:sz w:val="24"/>
                <w:szCs w:val="24"/>
              </w:rPr>
              <w:t>78</w:t>
            </w:r>
          </w:p>
        </w:tc>
        <w:tc>
          <w:tcPr>
            <w:tcW w:w="3187" w:type="dxa"/>
            <w:shd w:val="clear" w:color="auto" w:fill="F5F5F5"/>
            <w:vAlign w:val="center"/>
          </w:tcPr>
          <w:p w14:paraId="7251E5F6">
            <w:pPr>
              <w:jc w:val="left"/>
              <w:rPr>
                <w:sz w:val="24"/>
                <w:szCs w:val="24"/>
              </w:rPr>
            </w:pPr>
          </w:p>
        </w:tc>
      </w:tr>
    </w:tbl>
    <w:p w14:paraId="76EBE106">
      <w:pPr>
        <w:pStyle w:val="4"/>
        <w:numPr>
          <w:ilvl w:val="0"/>
          <w:numId w:val="0"/>
        </w:numPr>
        <w:ind w:firstLine="640" w:firstLineChars="200"/>
        <w:rPr>
          <w:rFonts w:hint="eastAsia" w:ascii="仿宋" w:hAnsi="仿宋" w:eastAsia="仿宋" w:cs="仿宋"/>
          <w:sz w:val="32"/>
          <w:szCs w:val="32"/>
          <w:lang w:val="en-US" w:bidi="zh-CN"/>
        </w:rPr>
      </w:pPr>
    </w:p>
    <w:p w14:paraId="402BE95A">
      <w:pPr>
        <w:pStyle w:val="4"/>
        <w:numPr>
          <w:ilvl w:val="0"/>
          <w:numId w:val="0"/>
        </w:numPr>
        <w:ind w:firstLine="640" w:firstLineChars="200"/>
        <w:rPr>
          <w:rFonts w:hint="eastAsia" w:ascii="仿宋" w:hAnsi="仿宋" w:eastAsia="仿宋" w:cs="仿宋"/>
          <w:sz w:val="32"/>
          <w:szCs w:val="32"/>
          <w:lang w:val="zh-CN" w:bidi="zh-CN"/>
        </w:rPr>
      </w:pPr>
      <w:r>
        <w:rPr>
          <w:rFonts w:hint="eastAsia" w:ascii="仿宋" w:hAnsi="仿宋" w:eastAsia="仿宋" w:cs="仿宋"/>
          <w:sz w:val="32"/>
          <w:szCs w:val="32"/>
          <w:lang w:val="en-US" w:bidi="zh-CN"/>
        </w:rPr>
        <w:t>3.</w:t>
      </w:r>
      <w:r>
        <w:rPr>
          <w:rFonts w:hint="eastAsia" w:ascii="仿宋" w:hAnsi="仿宋" w:eastAsia="仿宋" w:cs="仿宋"/>
          <w:sz w:val="32"/>
          <w:szCs w:val="32"/>
          <w:lang w:val="zh-CN" w:bidi="zh-CN"/>
        </w:rPr>
        <w:t>中职人培方案</w:t>
      </w:r>
    </w:p>
    <w:p w14:paraId="6F90BEBE">
      <w:pPr>
        <w:pStyle w:val="4"/>
        <w:numPr>
          <w:ilvl w:val="0"/>
          <w:numId w:val="0"/>
        </w:numPr>
        <w:ind w:firstLine="640" w:firstLineChars="200"/>
        <w:rPr>
          <w:rFonts w:hint="eastAsia" w:ascii="仿宋" w:hAnsi="仿宋" w:eastAsia="仿宋" w:cs="仿宋"/>
          <w:sz w:val="32"/>
          <w:szCs w:val="32"/>
          <w:lang w:val="en-US" w:bidi="zh-CN"/>
        </w:rPr>
      </w:pPr>
      <w:r>
        <w:rPr>
          <w:rFonts w:hint="eastAsia" w:ascii="仿宋" w:hAnsi="仿宋" w:eastAsia="仿宋" w:cs="仿宋"/>
          <w:sz w:val="32"/>
          <w:szCs w:val="32"/>
          <w:lang w:val="en-US" w:bidi="zh-CN"/>
        </w:rPr>
        <w:t>本次调研的中职院校涵盖4个星级层次的10所院校，具体如下：</w:t>
      </w:r>
    </w:p>
    <w:p w14:paraId="1C2634AE">
      <w:pPr>
        <w:pStyle w:val="4"/>
        <w:ind w:firstLine="640"/>
        <w:jc w:val="center"/>
        <w:rPr>
          <w:rFonts w:hint="default" w:ascii="Times New Roman" w:hAnsi="Times New Roman" w:eastAsia="仿宋_GB2312" w:cstheme="minorBidi"/>
          <w:b/>
          <w:bCs/>
          <w:color w:val="000000"/>
          <w:kern w:val="2"/>
          <w:sz w:val="24"/>
          <w:szCs w:val="24"/>
          <w:lang w:val="en-US" w:eastAsia="zh-CN" w:bidi="ar-SA"/>
        </w:rPr>
      </w:pPr>
      <w:r>
        <w:rPr>
          <w:rFonts w:hint="eastAsia" w:ascii="Times New Roman" w:hAnsi="Times New Roman" w:eastAsia="仿宋_GB2312" w:cstheme="minorBidi"/>
          <w:b/>
          <w:bCs/>
          <w:color w:val="000000"/>
          <w:kern w:val="2"/>
          <w:sz w:val="24"/>
          <w:szCs w:val="24"/>
          <w:lang w:val="en-US" w:eastAsia="zh-CN" w:bidi="ar-SA"/>
        </w:rPr>
        <w:t>表2-3调研的中职院校</w:t>
      </w:r>
    </w:p>
    <w:tbl>
      <w:tblPr>
        <w:tblStyle w:val="11"/>
        <w:tblW w:w="0" w:type="auto"/>
        <w:tblInd w:w="9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628"/>
        <w:gridCol w:w="3681"/>
      </w:tblGrid>
      <w:tr w14:paraId="28DD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tcPr>
          <w:p w14:paraId="37BBCC36">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数量</w:t>
            </w:r>
          </w:p>
        </w:tc>
        <w:tc>
          <w:tcPr>
            <w:tcW w:w="1628" w:type="dxa"/>
          </w:tcPr>
          <w:p w14:paraId="37F4E565">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星级</w:t>
            </w:r>
          </w:p>
        </w:tc>
        <w:tc>
          <w:tcPr>
            <w:tcW w:w="3681" w:type="dxa"/>
          </w:tcPr>
          <w:p w14:paraId="67AD3479">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学校</w:t>
            </w:r>
          </w:p>
        </w:tc>
      </w:tr>
      <w:tr w14:paraId="04E8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restart"/>
            <w:vAlign w:val="center"/>
          </w:tcPr>
          <w:p w14:paraId="30610F14">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3</w:t>
            </w:r>
          </w:p>
        </w:tc>
        <w:tc>
          <w:tcPr>
            <w:tcW w:w="1628" w:type="dxa"/>
            <w:vMerge w:val="restart"/>
            <w:vAlign w:val="center"/>
          </w:tcPr>
          <w:p w14:paraId="4468C391">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五星</w:t>
            </w:r>
          </w:p>
        </w:tc>
        <w:tc>
          <w:tcPr>
            <w:tcW w:w="3681" w:type="dxa"/>
          </w:tcPr>
          <w:p w14:paraId="3C954EF1">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广西物资学校</w:t>
            </w:r>
          </w:p>
        </w:tc>
      </w:tr>
      <w:tr w14:paraId="3C43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43537B59">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28" w:type="dxa"/>
            <w:vMerge w:val="continue"/>
            <w:vAlign w:val="center"/>
          </w:tcPr>
          <w:p w14:paraId="1DEA8923">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681" w:type="dxa"/>
          </w:tcPr>
          <w:p w14:paraId="2B3EC806">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‌广西交通技师学院</w:t>
            </w:r>
          </w:p>
        </w:tc>
      </w:tr>
      <w:tr w14:paraId="2D5B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04BDD82D">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28" w:type="dxa"/>
            <w:vMerge w:val="continue"/>
            <w:vAlign w:val="center"/>
          </w:tcPr>
          <w:p w14:paraId="75CA77A8">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681" w:type="dxa"/>
          </w:tcPr>
          <w:p w14:paraId="3CDE98FB">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‌南宁市第一职业技术学校</w:t>
            </w:r>
          </w:p>
        </w:tc>
      </w:tr>
      <w:tr w14:paraId="28F7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restart"/>
            <w:vAlign w:val="center"/>
          </w:tcPr>
          <w:p w14:paraId="7A005653">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4</w:t>
            </w:r>
          </w:p>
        </w:tc>
        <w:tc>
          <w:tcPr>
            <w:tcW w:w="1628" w:type="dxa"/>
            <w:vMerge w:val="restart"/>
            <w:vAlign w:val="center"/>
          </w:tcPr>
          <w:p w14:paraId="42CEB31F">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四星</w:t>
            </w:r>
          </w:p>
        </w:tc>
        <w:tc>
          <w:tcPr>
            <w:tcW w:w="3681" w:type="dxa"/>
          </w:tcPr>
          <w:p w14:paraId="35266F94">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广西工商</w:t>
            </w:r>
            <w:r>
              <w:rPr>
                <w:rFonts w:hint="eastAsia" w:ascii="Times New Roman" w:hAnsi="Times New Roman" w:eastAsia="仿宋_GB2312" w:cstheme="minorBidi"/>
                <w:b w:val="0"/>
                <w:bCs w:val="0"/>
                <w:color w:val="000000"/>
                <w:kern w:val="2"/>
                <w:sz w:val="24"/>
                <w:szCs w:val="24"/>
                <w:lang w:val="en-US" w:eastAsia="zh-CN"/>
              </w:rPr>
              <w:t>学校</w:t>
            </w:r>
          </w:p>
        </w:tc>
      </w:tr>
      <w:tr w14:paraId="0972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7C5A195C">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28" w:type="dxa"/>
            <w:vMerge w:val="continue"/>
            <w:vAlign w:val="center"/>
          </w:tcPr>
          <w:p w14:paraId="43C1A931">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681" w:type="dxa"/>
          </w:tcPr>
          <w:p w14:paraId="049F9176">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广西银行学校</w:t>
            </w:r>
          </w:p>
        </w:tc>
      </w:tr>
      <w:tr w14:paraId="52F8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513FC297">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28" w:type="dxa"/>
            <w:vMerge w:val="continue"/>
            <w:vAlign w:val="center"/>
          </w:tcPr>
          <w:p w14:paraId="304DBAC2">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681" w:type="dxa"/>
          </w:tcPr>
          <w:p w14:paraId="7A643B1A">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‌广西纺织工业学校</w:t>
            </w:r>
          </w:p>
        </w:tc>
      </w:tr>
      <w:tr w14:paraId="68CF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26403A5B">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28" w:type="dxa"/>
            <w:vMerge w:val="continue"/>
            <w:vAlign w:val="center"/>
          </w:tcPr>
          <w:p w14:paraId="08AE9D35">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681" w:type="dxa"/>
          </w:tcPr>
          <w:p w14:paraId="2B035753">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广西钦州商贸学校</w:t>
            </w:r>
          </w:p>
        </w:tc>
      </w:tr>
      <w:tr w14:paraId="106A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restart"/>
            <w:vAlign w:val="center"/>
          </w:tcPr>
          <w:p w14:paraId="04858253">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2</w:t>
            </w:r>
          </w:p>
        </w:tc>
        <w:tc>
          <w:tcPr>
            <w:tcW w:w="1628" w:type="dxa"/>
            <w:vMerge w:val="restart"/>
            <w:vAlign w:val="center"/>
          </w:tcPr>
          <w:p w14:paraId="6587C942">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三星</w:t>
            </w:r>
          </w:p>
        </w:tc>
        <w:tc>
          <w:tcPr>
            <w:tcW w:w="3681" w:type="dxa"/>
          </w:tcPr>
          <w:p w14:paraId="1002E258">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‌广西民族中等专业学校</w:t>
            </w:r>
          </w:p>
        </w:tc>
      </w:tr>
      <w:tr w14:paraId="3F87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Merge w:val="continue"/>
            <w:vAlign w:val="center"/>
          </w:tcPr>
          <w:p w14:paraId="2420A118">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p>
        </w:tc>
        <w:tc>
          <w:tcPr>
            <w:tcW w:w="1628" w:type="dxa"/>
            <w:vMerge w:val="continue"/>
            <w:vAlign w:val="center"/>
          </w:tcPr>
          <w:p w14:paraId="0DE93AA4">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681" w:type="dxa"/>
          </w:tcPr>
          <w:p w14:paraId="0D366FFA">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‌南宁市武鸣区职业技术学校</w:t>
            </w:r>
          </w:p>
        </w:tc>
      </w:tr>
      <w:tr w14:paraId="1AA2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56A75DDE">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1</w:t>
            </w:r>
          </w:p>
        </w:tc>
        <w:tc>
          <w:tcPr>
            <w:tcW w:w="1628" w:type="dxa"/>
            <w:vAlign w:val="center"/>
          </w:tcPr>
          <w:p w14:paraId="4B3C86D6">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二星</w:t>
            </w:r>
          </w:p>
        </w:tc>
        <w:tc>
          <w:tcPr>
            <w:tcW w:w="3681" w:type="dxa"/>
          </w:tcPr>
          <w:p w14:paraId="737071C7">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凭祥市东南亚外语学校</w:t>
            </w:r>
          </w:p>
        </w:tc>
      </w:tr>
    </w:tbl>
    <w:p w14:paraId="36A4A75D">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p>
    <w:p w14:paraId="1060E511">
      <w:pPr>
        <w:pStyle w:val="4"/>
        <w:numPr>
          <w:ilvl w:val="0"/>
          <w:numId w:val="0"/>
        </w:numPr>
        <w:ind w:firstLine="640" w:firstLineChars="200"/>
        <w:rPr>
          <w:rFonts w:hint="eastAsia" w:ascii="仿宋" w:hAnsi="仿宋" w:eastAsia="仿宋" w:cs="仿宋"/>
          <w:sz w:val="32"/>
          <w:szCs w:val="32"/>
          <w:lang w:val="zh-CN" w:bidi="zh-CN"/>
        </w:rPr>
      </w:pPr>
      <w:r>
        <w:rPr>
          <w:rFonts w:hint="eastAsia" w:ascii="仿宋" w:hAnsi="仿宋" w:eastAsia="仿宋" w:cs="仿宋"/>
          <w:sz w:val="32"/>
          <w:szCs w:val="32"/>
          <w:lang w:val="en-US" w:bidi="zh-CN"/>
        </w:rPr>
        <w:t>4.</w:t>
      </w:r>
      <w:r>
        <w:rPr>
          <w:rFonts w:hint="eastAsia" w:ascii="仿宋" w:hAnsi="仿宋" w:eastAsia="仿宋" w:cs="仿宋"/>
          <w:sz w:val="32"/>
          <w:szCs w:val="32"/>
          <w:lang w:val="zh-CN" w:bidi="zh-CN"/>
        </w:rPr>
        <w:t>职业院校人培方案</w:t>
      </w:r>
    </w:p>
    <w:p w14:paraId="2C052BAE">
      <w:pPr>
        <w:pStyle w:val="4"/>
        <w:numPr>
          <w:ilvl w:val="0"/>
          <w:numId w:val="0"/>
        </w:numPr>
        <w:ind w:firstLine="640"/>
        <w:rPr>
          <w:rFonts w:hint="eastAsia" w:ascii="仿宋" w:hAnsi="仿宋" w:eastAsia="仿宋" w:cs="仿宋"/>
          <w:sz w:val="32"/>
          <w:szCs w:val="32"/>
          <w:lang w:val="en-US" w:bidi="zh-CN"/>
        </w:rPr>
      </w:pPr>
      <w:r>
        <w:rPr>
          <w:rFonts w:hint="eastAsia" w:ascii="仿宋" w:hAnsi="仿宋" w:eastAsia="仿宋" w:cs="仿宋"/>
          <w:sz w:val="32"/>
          <w:szCs w:val="32"/>
          <w:lang w:val="en-US" w:bidi="zh-CN"/>
        </w:rPr>
        <w:t>本次调研的职业院校涵盖</w:t>
      </w:r>
      <w:r>
        <w:rPr>
          <w:rFonts w:hint="eastAsia" w:ascii="仿宋" w:hAnsi="仿宋" w:eastAsia="仿宋" w:cs="仿宋"/>
          <w:color w:val="auto"/>
          <w:sz w:val="32"/>
          <w:szCs w:val="32"/>
          <w:lang w:val="en-US" w:bidi="zh-CN"/>
        </w:rPr>
        <w:t>4所专科院校和4所本</w:t>
      </w:r>
      <w:r>
        <w:rPr>
          <w:rFonts w:hint="eastAsia" w:ascii="仿宋" w:hAnsi="仿宋" w:eastAsia="仿宋" w:cs="仿宋"/>
          <w:sz w:val="32"/>
          <w:szCs w:val="32"/>
          <w:lang w:val="en-US" w:bidi="zh-CN"/>
        </w:rPr>
        <w:t>科院校，具体如下：</w:t>
      </w:r>
    </w:p>
    <w:p w14:paraId="0DE81CA0">
      <w:pPr>
        <w:pStyle w:val="4"/>
        <w:numPr>
          <w:ilvl w:val="0"/>
          <w:numId w:val="0"/>
        </w:numPr>
        <w:ind w:firstLine="640"/>
        <w:jc w:val="center"/>
        <w:rPr>
          <w:rFonts w:hint="eastAsia" w:ascii="仿宋" w:hAnsi="仿宋" w:eastAsia="仿宋" w:cs="仿宋"/>
          <w:b/>
          <w:bCs/>
          <w:sz w:val="24"/>
          <w:szCs w:val="24"/>
          <w:lang w:val="en-US" w:bidi="zh-CN"/>
        </w:rPr>
      </w:pPr>
      <w:r>
        <w:rPr>
          <w:rFonts w:hint="eastAsia" w:ascii="仿宋" w:hAnsi="仿宋" w:eastAsia="仿宋" w:cs="仿宋"/>
          <w:b/>
          <w:bCs/>
          <w:sz w:val="24"/>
          <w:szCs w:val="24"/>
          <w:lang w:val="en-US" w:bidi="zh-CN"/>
        </w:rPr>
        <w:t>表2-4调研的职业院校</w:t>
      </w:r>
    </w:p>
    <w:tbl>
      <w:tblPr>
        <w:tblStyle w:val="11"/>
        <w:tblW w:w="0" w:type="auto"/>
        <w:tblInd w:w="9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656"/>
        <w:gridCol w:w="3513"/>
      </w:tblGrid>
      <w:tr w14:paraId="6D3C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tcPr>
          <w:p w14:paraId="7B37702B">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数量</w:t>
            </w:r>
          </w:p>
        </w:tc>
        <w:tc>
          <w:tcPr>
            <w:tcW w:w="1656" w:type="dxa"/>
          </w:tcPr>
          <w:p w14:paraId="2AF2E1BE">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层次</w:t>
            </w:r>
          </w:p>
        </w:tc>
        <w:tc>
          <w:tcPr>
            <w:tcW w:w="3513" w:type="dxa"/>
          </w:tcPr>
          <w:p w14:paraId="7AA79249">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学校</w:t>
            </w:r>
          </w:p>
        </w:tc>
      </w:tr>
      <w:tr w14:paraId="1FC7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restart"/>
            <w:vAlign w:val="center"/>
          </w:tcPr>
          <w:p w14:paraId="087DFBBA">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4</w:t>
            </w:r>
          </w:p>
        </w:tc>
        <w:tc>
          <w:tcPr>
            <w:tcW w:w="1656" w:type="dxa"/>
            <w:vMerge w:val="restart"/>
            <w:vAlign w:val="center"/>
          </w:tcPr>
          <w:p w14:paraId="48F8BC30">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专科</w:t>
            </w:r>
          </w:p>
        </w:tc>
        <w:tc>
          <w:tcPr>
            <w:tcW w:w="3513" w:type="dxa"/>
          </w:tcPr>
          <w:p w14:paraId="46027436">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广西国际商务职业技术学院</w:t>
            </w:r>
          </w:p>
        </w:tc>
      </w:tr>
      <w:tr w14:paraId="2686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vAlign w:val="center"/>
          </w:tcPr>
          <w:p w14:paraId="0F7E9FF4">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56" w:type="dxa"/>
            <w:vMerge w:val="continue"/>
            <w:vAlign w:val="center"/>
          </w:tcPr>
          <w:p w14:paraId="184A9B78">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513" w:type="dxa"/>
          </w:tcPr>
          <w:p w14:paraId="39539B89">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江苏经贸职业技术学院</w:t>
            </w:r>
          </w:p>
        </w:tc>
      </w:tr>
      <w:tr w14:paraId="01A8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vAlign w:val="center"/>
          </w:tcPr>
          <w:p w14:paraId="77310BCD">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56" w:type="dxa"/>
            <w:vMerge w:val="continue"/>
            <w:vAlign w:val="center"/>
          </w:tcPr>
          <w:p w14:paraId="1F7E622B">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513" w:type="dxa"/>
          </w:tcPr>
          <w:p w14:paraId="590A660A">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苏州经贸职业技术学院</w:t>
            </w:r>
          </w:p>
        </w:tc>
      </w:tr>
      <w:tr w14:paraId="2509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vAlign w:val="center"/>
          </w:tcPr>
          <w:p w14:paraId="1ED0925A">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56" w:type="dxa"/>
            <w:vMerge w:val="continue"/>
            <w:vAlign w:val="center"/>
          </w:tcPr>
          <w:p w14:paraId="79E848F5">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513" w:type="dxa"/>
          </w:tcPr>
          <w:p w14:paraId="5A453D81">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广东科学技术职业学院</w:t>
            </w:r>
          </w:p>
        </w:tc>
      </w:tr>
      <w:tr w14:paraId="775A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restart"/>
            <w:vAlign w:val="center"/>
          </w:tcPr>
          <w:p w14:paraId="7E8B63F2">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4</w:t>
            </w:r>
          </w:p>
        </w:tc>
        <w:tc>
          <w:tcPr>
            <w:tcW w:w="1656" w:type="dxa"/>
            <w:vMerge w:val="restart"/>
            <w:vAlign w:val="center"/>
          </w:tcPr>
          <w:p w14:paraId="481DEF9D">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本科</w:t>
            </w:r>
          </w:p>
        </w:tc>
        <w:tc>
          <w:tcPr>
            <w:tcW w:w="3513" w:type="dxa"/>
          </w:tcPr>
          <w:p w14:paraId="00D9CCF7">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广西农业职业技术大学</w:t>
            </w:r>
          </w:p>
        </w:tc>
      </w:tr>
      <w:tr w14:paraId="7F3A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vAlign w:val="center"/>
          </w:tcPr>
          <w:p w14:paraId="0B40E802">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56" w:type="dxa"/>
            <w:vMerge w:val="continue"/>
            <w:vAlign w:val="center"/>
          </w:tcPr>
          <w:p w14:paraId="0C1FFFB2">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513" w:type="dxa"/>
          </w:tcPr>
          <w:p w14:paraId="7FF426FA">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广西城市职业技术大学</w:t>
            </w:r>
          </w:p>
        </w:tc>
      </w:tr>
      <w:tr w14:paraId="27F6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vAlign w:val="center"/>
          </w:tcPr>
          <w:p w14:paraId="5C9B74E1">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56" w:type="dxa"/>
            <w:vMerge w:val="continue"/>
            <w:vAlign w:val="center"/>
          </w:tcPr>
          <w:p w14:paraId="4F84F009">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513" w:type="dxa"/>
          </w:tcPr>
          <w:p w14:paraId="78AE745B">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南京工业职业技术大学</w:t>
            </w:r>
          </w:p>
        </w:tc>
      </w:tr>
      <w:tr w14:paraId="514F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Merge w:val="continue"/>
            <w:vAlign w:val="center"/>
          </w:tcPr>
          <w:p w14:paraId="23E94AC3">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1656" w:type="dxa"/>
            <w:vMerge w:val="continue"/>
            <w:vAlign w:val="center"/>
          </w:tcPr>
          <w:p w14:paraId="1DCF614D">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3513" w:type="dxa"/>
          </w:tcPr>
          <w:p w14:paraId="0D7031A5">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宁波职业技术大学</w:t>
            </w:r>
          </w:p>
        </w:tc>
      </w:tr>
    </w:tbl>
    <w:p w14:paraId="135188E5">
      <w:pPr>
        <w:pStyle w:val="4"/>
        <w:numPr>
          <w:ilvl w:val="0"/>
          <w:numId w:val="0"/>
        </w:numPr>
        <w:ind w:firstLine="640"/>
        <w:rPr>
          <w:rFonts w:hint="default" w:ascii="仿宋" w:hAnsi="仿宋" w:eastAsia="仿宋" w:cs="仿宋"/>
          <w:sz w:val="32"/>
          <w:szCs w:val="32"/>
          <w:lang w:val="en-US" w:bidi="zh-CN"/>
        </w:rPr>
      </w:pPr>
    </w:p>
    <w:p w14:paraId="375360E3">
      <w:pPr>
        <w:numPr>
          <w:ilvl w:val="0"/>
          <w:numId w:val="0"/>
        </w:numPr>
        <w:spacing w:line="288" w:lineRule="auto"/>
        <w:ind w:leftChars="200"/>
        <w:rPr>
          <w:rFonts w:hint="eastAsia" w:ascii="仿宋" w:hAnsi="仿宋" w:eastAsia="仿宋" w:cs="黑体"/>
          <w:b w:val="0"/>
          <w:bCs/>
          <w:szCs w:val="32"/>
          <w:lang w:val="en-US" w:eastAsia="zh-CN"/>
        </w:rPr>
      </w:pPr>
      <w:r>
        <w:rPr>
          <w:rFonts w:hint="eastAsia" w:ascii="仿宋" w:hAnsi="仿宋" w:eastAsia="仿宋" w:cs="黑体"/>
          <w:b w:val="0"/>
          <w:bCs/>
          <w:szCs w:val="32"/>
          <w:lang w:val="en-US" w:eastAsia="zh-CN"/>
        </w:rPr>
        <w:t>5.普通本科人培方案</w:t>
      </w:r>
    </w:p>
    <w:p w14:paraId="1737D7D9">
      <w:pPr>
        <w:numPr>
          <w:ilvl w:val="0"/>
          <w:numId w:val="0"/>
        </w:numPr>
        <w:spacing w:line="288" w:lineRule="auto"/>
        <w:ind w:firstLine="640" w:firstLineChars="200"/>
        <w:rPr>
          <w:rFonts w:hint="eastAsia" w:ascii="仿宋" w:hAnsi="仿宋" w:eastAsia="仿宋" w:cs="黑体"/>
          <w:b w:val="0"/>
          <w:bCs/>
          <w:szCs w:val="32"/>
          <w:lang w:val="en-US" w:eastAsia="zh-CN"/>
        </w:rPr>
      </w:pPr>
      <w:r>
        <w:rPr>
          <w:rFonts w:hint="eastAsia" w:ascii="仿宋" w:hAnsi="仿宋" w:eastAsia="仿宋" w:cs="黑体"/>
          <w:b w:val="0"/>
          <w:bCs/>
          <w:szCs w:val="32"/>
          <w:lang w:val="en-US" w:eastAsia="zh-CN"/>
        </w:rPr>
        <w:t>本次调研的普通本科院校涵盖3所应用型和2所教学科研型院校，院校名单具体如下：</w:t>
      </w:r>
    </w:p>
    <w:p w14:paraId="264B201C">
      <w:pPr>
        <w:pStyle w:val="4"/>
        <w:numPr>
          <w:ilvl w:val="0"/>
          <w:numId w:val="0"/>
        </w:numPr>
        <w:ind w:firstLine="640"/>
        <w:jc w:val="center"/>
        <w:rPr>
          <w:rFonts w:hint="eastAsia" w:ascii="仿宋" w:hAnsi="仿宋" w:eastAsia="仿宋" w:cs="仿宋"/>
          <w:b/>
          <w:bCs/>
          <w:sz w:val="24"/>
          <w:szCs w:val="24"/>
          <w:lang w:val="en-US" w:bidi="zh-CN"/>
        </w:rPr>
      </w:pPr>
      <w:r>
        <w:rPr>
          <w:rFonts w:hint="eastAsia" w:ascii="仿宋" w:hAnsi="仿宋" w:eastAsia="仿宋" w:cs="仿宋"/>
          <w:b/>
          <w:bCs/>
          <w:sz w:val="24"/>
          <w:szCs w:val="24"/>
          <w:lang w:val="en-US" w:bidi="zh-CN"/>
        </w:rPr>
        <w:t>表2-5调研的普通本科院校</w:t>
      </w:r>
    </w:p>
    <w:tbl>
      <w:tblPr>
        <w:tblStyle w:val="11"/>
        <w:tblW w:w="0" w:type="auto"/>
        <w:tblInd w:w="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2205"/>
        <w:gridCol w:w="2971"/>
      </w:tblGrid>
      <w:tr w14:paraId="6F9B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Pr>
          <w:p w14:paraId="65F15818">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数量</w:t>
            </w:r>
          </w:p>
        </w:tc>
        <w:tc>
          <w:tcPr>
            <w:tcW w:w="2205" w:type="dxa"/>
          </w:tcPr>
          <w:p w14:paraId="61301E69">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层次</w:t>
            </w:r>
          </w:p>
        </w:tc>
        <w:tc>
          <w:tcPr>
            <w:tcW w:w="2971" w:type="dxa"/>
          </w:tcPr>
          <w:p w14:paraId="45A430B0">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学校</w:t>
            </w:r>
          </w:p>
        </w:tc>
      </w:tr>
      <w:tr w14:paraId="05C7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Merge w:val="restart"/>
            <w:vAlign w:val="center"/>
          </w:tcPr>
          <w:p w14:paraId="69B8EB03">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3</w:t>
            </w:r>
          </w:p>
        </w:tc>
        <w:tc>
          <w:tcPr>
            <w:tcW w:w="2205" w:type="dxa"/>
            <w:vMerge w:val="restart"/>
            <w:vAlign w:val="center"/>
          </w:tcPr>
          <w:p w14:paraId="42ECB2DE">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应用型</w:t>
            </w:r>
          </w:p>
        </w:tc>
        <w:tc>
          <w:tcPr>
            <w:tcW w:w="2971" w:type="dxa"/>
          </w:tcPr>
          <w:p w14:paraId="3FA02F16">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南宁师范大学</w:t>
            </w:r>
          </w:p>
        </w:tc>
      </w:tr>
      <w:tr w14:paraId="4871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Merge w:val="continue"/>
            <w:vAlign w:val="center"/>
          </w:tcPr>
          <w:p w14:paraId="591E3311">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2205" w:type="dxa"/>
            <w:vMerge w:val="continue"/>
            <w:vAlign w:val="center"/>
          </w:tcPr>
          <w:p w14:paraId="543A76BF">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2971" w:type="dxa"/>
          </w:tcPr>
          <w:p w14:paraId="32DC66BD">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广西财经学院</w:t>
            </w:r>
          </w:p>
        </w:tc>
      </w:tr>
      <w:tr w14:paraId="3849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Merge w:val="continue"/>
            <w:vAlign w:val="center"/>
          </w:tcPr>
          <w:p w14:paraId="00815DEE">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2205" w:type="dxa"/>
            <w:vMerge w:val="continue"/>
            <w:vAlign w:val="center"/>
          </w:tcPr>
          <w:p w14:paraId="6F1188EC">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2971" w:type="dxa"/>
          </w:tcPr>
          <w:p w14:paraId="71B98F8C">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广西科技大学</w:t>
            </w:r>
          </w:p>
        </w:tc>
      </w:tr>
      <w:tr w14:paraId="0E28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Merge w:val="restart"/>
            <w:vAlign w:val="center"/>
          </w:tcPr>
          <w:p w14:paraId="6CCD6453">
            <w:pPr>
              <w:keepNext w:val="0"/>
              <w:keepLines w:val="0"/>
              <w:widowControl/>
              <w:suppressLineNumbers w:val="0"/>
              <w:jc w:val="center"/>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2</w:t>
            </w:r>
          </w:p>
        </w:tc>
        <w:tc>
          <w:tcPr>
            <w:tcW w:w="2205" w:type="dxa"/>
            <w:vMerge w:val="restart"/>
            <w:vAlign w:val="center"/>
          </w:tcPr>
          <w:p w14:paraId="43F4298D">
            <w:pPr>
              <w:keepNext w:val="0"/>
              <w:keepLines w:val="0"/>
              <w:widowControl/>
              <w:suppressLineNumbers w:val="0"/>
              <w:jc w:val="left"/>
              <w:textAlignment w:val="center"/>
              <w:rPr>
                <w:rFonts w:hint="default" w:ascii="Times New Roman" w:hAnsi="Times New Roman" w:eastAsia="仿宋_GB2312" w:cstheme="minorBidi"/>
                <w:b w:val="0"/>
                <w:bCs w:val="0"/>
                <w:color w:val="000000"/>
                <w:kern w:val="2"/>
                <w:sz w:val="24"/>
                <w:szCs w:val="24"/>
                <w:lang w:val="en-US" w:eastAsia="zh-CN"/>
              </w:rPr>
            </w:pPr>
            <w:r>
              <w:rPr>
                <w:rFonts w:hint="eastAsia" w:cstheme="minorBidi"/>
                <w:b w:val="0"/>
                <w:bCs w:val="0"/>
                <w:color w:val="000000"/>
                <w:kern w:val="2"/>
                <w:sz w:val="24"/>
                <w:szCs w:val="24"/>
                <w:lang w:val="en-US" w:eastAsia="zh-CN"/>
              </w:rPr>
              <w:t>教学科研型</w:t>
            </w:r>
          </w:p>
        </w:tc>
        <w:tc>
          <w:tcPr>
            <w:tcW w:w="2971" w:type="dxa"/>
          </w:tcPr>
          <w:p w14:paraId="2F10702D">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对外经济贸易大学</w:t>
            </w:r>
          </w:p>
        </w:tc>
      </w:tr>
      <w:tr w14:paraId="09AB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Merge w:val="continue"/>
            <w:vAlign w:val="center"/>
          </w:tcPr>
          <w:p w14:paraId="42472BA5">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2205" w:type="dxa"/>
            <w:vMerge w:val="continue"/>
            <w:vAlign w:val="center"/>
          </w:tcPr>
          <w:p w14:paraId="12377AAE">
            <w:pPr>
              <w:keepNext w:val="0"/>
              <w:keepLines w:val="0"/>
              <w:widowControl/>
              <w:suppressLineNumbers w:val="0"/>
              <w:jc w:val="center"/>
              <w:textAlignment w:val="center"/>
              <w:rPr>
                <w:rFonts w:hint="eastAsia" w:ascii="Times New Roman" w:hAnsi="Times New Roman" w:eastAsia="仿宋_GB2312" w:cstheme="minorBidi"/>
                <w:b w:val="0"/>
                <w:bCs w:val="0"/>
                <w:color w:val="000000"/>
                <w:kern w:val="2"/>
                <w:sz w:val="24"/>
                <w:szCs w:val="24"/>
                <w:lang w:val="en-US" w:eastAsia="zh-CN"/>
              </w:rPr>
            </w:pPr>
          </w:p>
        </w:tc>
        <w:tc>
          <w:tcPr>
            <w:tcW w:w="2971" w:type="dxa"/>
          </w:tcPr>
          <w:p w14:paraId="270E313E">
            <w:pPr>
              <w:keepNext w:val="0"/>
              <w:keepLines w:val="0"/>
              <w:widowControl/>
              <w:suppressLineNumbers w:val="0"/>
              <w:jc w:val="left"/>
              <w:textAlignment w:val="center"/>
              <w:rPr>
                <w:rFonts w:hint="eastAsia" w:ascii="Times New Roman" w:hAnsi="Times New Roman" w:eastAsia="仿宋_GB2312" w:cstheme="minorBidi"/>
                <w:b w:val="0"/>
                <w:bCs w:val="0"/>
                <w:color w:val="000000"/>
                <w:kern w:val="2"/>
                <w:sz w:val="24"/>
                <w:szCs w:val="24"/>
                <w:lang w:val="en-US" w:eastAsia="zh-CN"/>
              </w:rPr>
            </w:pPr>
            <w:r>
              <w:rPr>
                <w:rFonts w:hint="eastAsia" w:ascii="Times New Roman" w:hAnsi="Times New Roman" w:eastAsia="仿宋_GB2312" w:cstheme="minorBidi"/>
                <w:b w:val="0"/>
                <w:bCs w:val="0"/>
                <w:color w:val="000000"/>
                <w:kern w:val="2"/>
                <w:sz w:val="24"/>
                <w:szCs w:val="24"/>
                <w:lang w:val="en-US" w:eastAsia="zh-CN"/>
              </w:rPr>
              <w:t>广西大学</w:t>
            </w:r>
          </w:p>
        </w:tc>
      </w:tr>
    </w:tbl>
    <w:p w14:paraId="62FCFDC0">
      <w:pPr>
        <w:pStyle w:val="4"/>
        <w:numPr>
          <w:ilvl w:val="0"/>
          <w:numId w:val="0"/>
        </w:numPr>
        <w:rPr>
          <w:rFonts w:hint="eastAsia" w:ascii="仿宋" w:hAnsi="仿宋" w:eastAsia="仿宋" w:cs="黑体"/>
          <w:b/>
          <w:szCs w:val="32"/>
        </w:rPr>
      </w:pPr>
    </w:p>
    <w:p w14:paraId="15D9396D">
      <w:pPr>
        <w:spacing w:line="288" w:lineRule="auto"/>
        <w:ind w:firstLine="643" w:firstLineChars="200"/>
        <w:rPr>
          <w:rFonts w:ascii="仿宋" w:hAnsi="仿宋" w:eastAsia="仿宋" w:cs="黑体"/>
          <w:b/>
          <w:szCs w:val="32"/>
        </w:rPr>
      </w:pPr>
      <w:r>
        <w:rPr>
          <w:rFonts w:hint="eastAsia" w:ascii="仿宋" w:hAnsi="仿宋" w:eastAsia="仿宋" w:cs="黑体"/>
          <w:b/>
          <w:szCs w:val="32"/>
        </w:rPr>
        <w:t>三、调研内容</w:t>
      </w:r>
    </w:p>
    <w:p w14:paraId="5B3502CB">
      <w:pPr>
        <w:adjustRightInd w:val="0"/>
        <w:snapToGrid w:val="0"/>
        <w:spacing w:line="360" w:lineRule="auto"/>
        <w:ind w:firstLine="643" w:firstLineChars="200"/>
        <w:rPr>
          <w:rFonts w:hint="eastAsia" w:ascii="Times New Roman" w:hAnsi="Times New Roman" w:eastAsia="仿宋_GB2312"/>
          <w:b w:val="0"/>
          <w:bCs/>
          <w:color w:val="000000"/>
          <w:sz w:val="32"/>
          <w:szCs w:val="32"/>
          <w:lang w:val="zh-CN"/>
        </w:rPr>
      </w:pPr>
      <w:r>
        <w:rPr>
          <w:rFonts w:hint="eastAsia" w:ascii="仿宋" w:hAnsi="仿宋" w:eastAsia="仿宋" w:cs="黑体"/>
          <w:b/>
          <w:bCs/>
          <w:szCs w:val="32"/>
        </w:rPr>
        <w:t>（一）行业企业的人才需求及职业面向的典型工作任务及技能要求</w:t>
      </w:r>
    </w:p>
    <w:p w14:paraId="55CED609">
      <w:pPr>
        <w:spacing w:line="560" w:lineRule="exact"/>
        <w:ind w:firstLine="640" w:firstLineChars="200"/>
        <w:rPr>
          <w:rFonts w:hint="eastAsia" w:ascii="Times New Roman" w:hAnsi="Times New Roman" w:eastAsia="仿宋_GB2312"/>
          <w:b w:val="0"/>
          <w:bCs/>
          <w:color w:val="000000"/>
          <w:sz w:val="32"/>
          <w:szCs w:val="32"/>
          <w:lang w:val="zh-CN"/>
        </w:rPr>
      </w:pPr>
      <w:r>
        <w:rPr>
          <w:rFonts w:hint="eastAsia" w:ascii="Times New Roman" w:hAnsi="Times New Roman" w:eastAsia="仿宋_GB2312"/>
          <w:b w:val="0"/>
          <w:bCs/>
          <w:color w:val="000000"/>
          <w:sz w:val="32"/>
          <w:szCs w:val="32"/>
          <w:lang w:val="zh-CN"/>
        </w:rPr>
        <w:t>外贸行业是国际贸易和经济活动的重要组成部分，其需要大量的专业人才来支持其运营和发展。企业在招聘人才时，通常需要具有国际贸易、经济、法律、语言等相关知识和技能的人才。此外，还需要具有跨文化交际能力、团队协作能力、市场分析能力等多项素质的人才。因此，企业需要高质量、高素质、复合型的外贸专业人才。</w:t>
      </w:r>
    </w:p>
    <w:p w14:paraId="20CC0A0D">
      <w:pPr>
        <w:pStyle w:val="4"/>
        <w:ind w:firstLine="640"/>
        <w:rPr>
          <w:rFonts w:hint="eastAsia" w:ascii="仿宋" w:hAnsi="仿宋" w:eastAsia="仿宋" w:cs="仿宋"/>
          <w:b w:val="0"/>
          <w:bCs/>
          <w:i w:val="0"/>
          <w:strike w:val="0"/>
          <w:color w:val="000000"/>
          <w:sz w:val="32"/>
          <w:u w:val="none"/>
          <w:lang w:val="zh-CN"/>
        </w:rPr>
      </w:pPr>
      <w:r>
        <w:rPr>
          <w:rFonts w:hint="eastAsia" w:ascii="仿宋" w:hAnsi="仿宋" w:eastAsia="仿宋" w:cs="仿宋"/>
          <w:b w:val="0"/>
          <w:bCs/>
          <w:i w:val="0"/>
          <w:strike w:val="0"/>
          <w:color w:val="000000"/>
          <w:sz w:val="32"/>
          <w:u w:val="none"/>
          <w:lang w:val="zh-CN"/>
        </w:rPr>
        <w:t>外贸行业职业面向的典型工作任务包括：</w:t>
      </w:r>
      <w:bookmarkStart w:id="3" w:name="_Toc30400"/>
      <w:r>
        <w:rPr>
          <w:rFonts w:hint="eastAsia" w:ascii="仿宋" w:hAnsi="仿宋" w:eastAsia="仿宋" w:cs="仿宋"/>
          <w:b w:val="0"/>
          <w:bCs/>
          <w:i w:val="0"/>
          <w:strike w:val="0"/>
          <w:color w:val="000000"/>
          <w:sz w:val="32"/>
          <w:u w:val="none"/>
          <w:lang w:val="zh-CN"/>
        </w:rPr>
        <w:t>进出口贸易管理</w:t>
      </w:r>
      <w:bookmarkEnd w:id="3"/>
      <w:r>
        <w:rPr>
          <w:rFonts w:hint="eastAsia" w:ascii="仿宋" w:hAnsi="仿宋" w:eastAsia="仿宋" w:cs="仿宋"/>
          <w:b w:val="0"/>
          <w:bCs/>
          <w:i w:val="0"/>
          <w:strike w:val="0"/>
          <w:color w:val="000000"/>
          <w:sz w:val="32"/>
          <w:u w:val="none"/>
          <w:lang w:val="zh-CN"/>
        </w:rPr>
        <w:t>、国际贸易协调、国际市场开拓、贸易合同管理、货物运输管理、政策咨询、进出口报关报检。这些工作任务中，需要具备较强的国际贸易知识和技能，包括国际商务知识、语言能力、跨文化交际能力、商务谈判技能、电子商务知识、商业敏感性、组织协调能力。</w:t>
      </w:r>
    </w:p>
    <w:p w14:paraId="2E030204">
      <w:pPr>
        <w:pStyle w:val="4"/>
        <w:numPr>
          <w:ilvl w:val="0"/>
          <w:numId w:val="2"/>
        </w:numPr>
        <w:ind w:firstLine="640"/>
        <w:rPr>
          <w:rFonts w:hint="eastAsia" w:ascii="仿宋" w:hAnsi="仿宋" w:eastAsia="仿宋"/>
          <w:b/>
          <w:bCs/>
          <w:sz w:val="32"/>
          <w:szCs w:val="32"/>
        </w:rPr>
      </w:pPr>
      <w:r>
        <w:rPr>
          <w:rFonts w:hint="eastAsia" w:ascii="仿宋" w:hAnsi="仿宋" w:eastAsia="仿宋"/>
          <w:b/>
          <w:bCs/>
          <w:sz w:val="32"/>
          <w:szCs w:val="32"/>
        </w:rPr>
        <w:t>毕业生生涯发展路径状况</w:t>
      </w:r>
    </w:p>
    <w:p w14:paraId="25FEC786">
      <w:pPr>
        <w:pStyle w:val="4"/>
        <w:numPr>
          <w:ilvl w:val="0"/>
          <w:numId w:val="0"/>
        </w:numPr>
        <w:ind w:firstLine="640" w:firstLineChars="200"/>
        <w:rPr>
          <w:rFonts w:hint="eastAsia" w:ascii="仿宋" w:hAnsi="仿宋" w:eastAsia="仿宋"/>
          <w:b/>
          <w:bCs/>
          <w:sz w:val="32"/>
          <w:szCs w:val="32"/>
        </w:rPr>
      </w:pPr>
      <w:r>
        <w:rPr>
          <w:rFonts w:hint="eastAsia" w:ascii="仿宋" w:hAnsi="仿宋" w:eastAsia="仿宋"/>
          <w:b w:val="0"/>
          <w:bCs w:val="0"/>
          <w:sz w:val="32"/>
          <w:szCs w:val="32"/>
        </w:rPr>
        <w:t>调研内容围绕</w:t>
      </w:r>
      <w:r>
        <w:rPr>
          <w:rFonts w:hint="eastAsia" w:ascii="仿宋" w:hAnsi="仿宋" w:eastAsia="仿宋"/>
          <w:b w:val="0"/>
          <w:bCs w:val="0"/>
          <w:sz w:val="32"/>
          <w:szCs w:val="32"/>
          <w:lang w:val="en-US" w:eastAsia="zh-CN"/>
        </w:rPr>
        <w:t>毕业生</w:t>
      </w:r>
      <w:r>
        <w:rPr>
          <w:rFonts w:hint="eastAsia" w:ascii="仿宋" w:hAnsi="仿宋" w:eastAsia="仿宋"/>
          <w:b w:val="0"/>
          <w:bCs w:val="0"/>
          <w:sz w:val="32"/>
          <w:szCs w:val="32"/>
        </w:rPr>
        <w:t>就业领域与岗位分布</w:t>
      </w:r>
      <w:r>
        <w:rPr>
          <w:rFonts w:hint="eastAsia" w:ascii="仿宋" w:hAnsi="仿宋" w:eastAsia="仿宋"/>
          <w:b w:val="0"/>
          <w:bCs w:val="0"/>
          <w:sz w:val="32"/>
          <w:szCs w:val="32"/>
          <w:lang w:eastAsia="zh-CN"/>
        </w:rPr>
        <w:t>、</w:t>
      </w:r>
      <w:r>
        <w:rPr>
          <w:rFonts w:hint="eastAsia" w:ascii="仿宋" w:hAnsi="仿宋" w:eastAsia="仿宋"/>
          <w:b w:val="0"/>
          <w:bCs w:val="0"/>
          <w:sz w:val="32"/>
          <w:szCs w:val="32"/>
        </w:rPr>
        <w:t>职业发展晋升路径</w:t>
      </w:r>
      <w:r>
        <w:rPr>
          <w:rFonts w:hint="eastAsia" w:ascii="仿宋" w:hAnsi="仿宋" w:eastAsia="仿宋"/>
          <w:b w:val="0"/>
          <w:bCs w:val="0"/>
          <w:sz w:val="32"/>
          <w:szCs w:val="32"/>
          <w:lang w:eastAsia="zh-CN"/>
        </w:rPr>
        <w:t>、能力匹配与缺口反馈、继续教育与学历提升、创业与灵活就业情况、行业趋势适应度</w:t>
      </w:r>
      <w:r>
        <w:rPr>
          <w:rFonts w:hint="eastAsia" w:ascii="仿宋" w:hAnsi="仿宋" w:eastAsia="仿宋"/>
          <w:b w:val="0"/>
          <w:bCs w:val="0"/>
          <w:sz w:val="32"/>
          <w:szCs w:val="32"/>
          <w:lang w:val="en-US" w:eastAsia="zh-CN"/>
        </w:rPr>
        <w:t>等方面展开。</w:t>
      </w:r>
    </w:p>
    <w:p w14:paraId="77234A66">
      <w:pPr>
        <w:pStyle w:val="4"/>
        <w:ind w:firstLine="640"/>
        <w:rPr>
          <w:rFonts w:hint="eastAsia" w:ascii="仿宋" w:hAnsi="仿宋" w:eastAsia="仿宋"/>
          <w:b/>
          <w:bCs/>
          <w:sz w:val="32"/>
          <w:szCs w:val="32"/>
        </w:rPr>
      </w:pPr>
      <w:r>
        <w:rPr>
          <w:rFonts w:hint="eastAsia" w:ascii="仿宋" w:hAnsi="仿宋" w:eastAsia="仿宋"/>
          <w:b/>
          <w:bCs/>
          <w:sz w:val="32"/>
          <w:szCs w:val="32"/>
        </w:rPr>
        <w:t>（三）在校生对课程设置教学的意见</w:t>
      </w:r>
    </w:p>
    <w:p w14:paraId="4E8EA281">
      <w:pPr>
        <w:pStyle w:val="4"/>
        <w:ind w:firstLine="640"/>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rPr>
        <w:t>调研内容围绕国际经济与贸易专业学生对课程设置合理性的评价、对教师教学方法的满意度</w:t>
      </w:r>
      <w:r>
        <w:rPr>
          <w:rFonts w:hint="eastAsia" w:ascii="仿宋" w:hAnsi="仿宋" w:eastAsia="仿宋" w:cs="仿宋"/>
          <w:i w:val="0"/>
          <w:strike w:val="0"/>
          <w:color w:val="000000"/>
          <w:sz w:val="32"/>
          <w:u w:val="none"/>
          <w:lang w:val="en-US" w:eastAsia="zh-CN"/>
        </w:rPr>
        <w:t>和</w:t>
      </w:r>
      <w:r>
        <w:rPr>
          <w:rFonts w:hint="eastAsia" w:ascii="仿宋" w:hAnsi="仿宋" w:eastAsia="仿宋" w:cs="仿宋"/>
          <w:i w:val="0"/>
          <w:strike w:val="0"/>
          <w:color w:val="000000"/>
          <w:sz w:val="32"/>
          <w:u w:val="none"/>
        </w:rPr>
        <w:t>期望教师采用的教学方法、对实践教学占比的评价</w:t>
      </w:r>
      <w:r>
        <w:rPr>
          <w:rFonts w:hint="eastAsia" w:ascii="仿宋" w:hAnsi="仿宋" w:eastAsia="仿宋" w:cs="仿宋"/>
          <w:i w:val="0"/>
          <w:strike w:val="0"/>
          <w:color w:val="000000"/>
          <w:sz w:val="32"/>
          <w:u w:val="none"/>
          <w:lang w:val="en-US" w:eastAsia="zh-CN"/>
        </w:rPr>
        <w:t>和</w:t>
      </w:r>
      <w:r>
        <w:rPr>
          <w:rFonts w:hint="eastAsia" w:ascii="仿宋" w:hAnsi="仿宋" w:eastAsia="仿宋" w:cs="仿宋"/>
          <w:i w:val="0"/>
          <w:strike w:val="0"/>
          <w:color w:val="000000"/>
          <w:sz w:val="32"/>
          <w:u w:val="none"/>
        </w:rPr>
        <w:t>参加过的专业相关竞赛活动收获情况及其他意见与建议展开</w:t>
      </w:r>
      <w:r>
        <w:rPr>
          <w:rFonts w:hint="eastAsia" w:ascii="仿宋" w:hAnsi="仿宋" w:eastAsia="仿宋" w:cs="仿宋"/>
          <w:i w:val="0"/>
          <w:strike w:val="0"/>
          <w:color w:val="000000"/>
          <w:sz w:val="32"/>
          <w:u w:val="none"/>
          <w:lang w:eastAsia="zh-CN"/>
        </w:rPr>
        <w:t>。</w:t>
      </w:r>
    </w:p>
    <w:p w14:paraId="0EDCA135">
      <w:pPr>
        <w:pStyle w:val="4"/>
        <w:ind w:firstLine="640"/>
        <w:rPr>
          <w:rFonts w:hint="eastAsia" w:ascii="仿宋" w:hAnsi="仿宋" w:eastAsia="仿宋"/>
          <w:b/>
          <w:bCs/>
          <w:sz w:val="32"/>
          <w:szCs w:val="32"/>
        </w:rPr>
      </w:pPr>
      <w:r>
        <w:rPr>
          <w:rFonts w:hint="eastAsia" w:ascii="仿宋" w:hAnsi="仿宋" w:eastAsia="仿宋"/>
          <w:b/>
          <w:bCs/>
          <w:sz w:val="32"/>
          <w:szCs w:val="32"/>
        </w:rPr>
        <w:t>（四）普通本科人才培养方案编制状况</w:t>
      </w:r>
    </w:p>
    <w:p w14:paraId="33A05F63">
      <w:pPr>
        <w:pStyle w:val="4"/>
        <w:ind w:firstLine="640"/>
        <w:rPr>
          <w:rFonts w:hint="eastAsia" w:ascii="Times New Roman" w:hAnsi="Times New Roman" w:eastAsia="仿宋_GB2312" w:cs="Times New Roman"/>
          <w:b w:val="0"/>
          <w:bCs/>
          <w:color w:val="000000"/>
          <w:kern w:val="2"/>
          <w:sz w:val="32"/>
          <w:szCs w:val="32"/>
          <w:lang w:val="en-US" w:eastAsia="zh-CN" w:bidi="ar-SA"/>
        </w:rPr>
      </w:pPr>
      <w:r>
        <w:rPr>
          <w:rFonts w:hint="eastAsia" w:ascii="Times New Roman" w:hAnsi="Times New Roman" w:eastAsia="仿宋_GB2312" w:cs="Times New Roman"/>
          <w:b w:val="0"/>
          <w:bCs/>
          <w:color w:val="000000"/>
          <w:kern w:val="2"/>
          <w:sz w:val="32"/>
          <w:szCs w:val="32"/>
          <w:lang w:val="en-US" w:eastAsia="zh-CN" w:bidi="ar-SA"/>
        </w:rPr>
        <w:t>调研的主要内容为</w:t>
      </w:r>
      <w:r>
        <w:rPr>
          <w:rFonts w:hint="eastAsia" w:eastAsia="仿宋_GB2312" w:cs="Times New Roman"/>
          <w:b w:val="0"/>
          <w:bCs/>
          <w:color w:val="000000"/>
          <w:kern w:val="2"/>
          <w:sz w:val="32"/>
          <w:szCs w:val="32"/>
          <w:lang w:val="en-US" w:eastAsia="zh-CN" w:bidi="ar-SA"/>
        </w:rPr>
        <w:t>应用型和教学科研型两类普通本科</w:t>
      </w:r>
      <w:r>
        <w:rPr>
          <w:rFonts w:hint="eastAsia" w:ascii="Times New Roman" w:hAnsi="Times New Roman" w:eastAsia="仿宋_GB2312" w:cs="Times New Roman"/>
          <w:b w:val="0"/>
          <w:bCs/>
          <w:color w:val="000000"/>
          <w:kern w:val="2"/>
          <w:sz w:val="32"/>
          <w:szCs w:val="32"/>
          <w:lang w:val="en-US" w:eastAsia="zh-CN" w:bidi="ar-SA"/>
        </w:rPr>
        <w:t>人才培养方案编制情况、人才培养特色、课程体系</w:t>
      </w:r>
      <w:r>
        <w:rPr>
          <w:rFonts w:hint="eastAsia" w:eastAsia="仿宋_GB2312" w:cs="Times New Roman"/>
          <w:b w:val="0"/>
          <w:bCs/>
          <w:color w:val="000000"/>
          <w:kern w:val="2"/>
          <w:sz w:val="32"/>
          <w:szCs w:val="32"/>
          <w:lang w:val="en-US" w:eastAsia="zh-CN" w:bidi="ar-SA"/>
        </w:rPr>
        <w:t>和学科优势</w:t>
      </w:r>
      <w:r>
        <w:rPr>
          <w:rFonts w:hint="eastAsia" w:ascii="Times New Roman" w:hAnsi="Times New Roman" w:eastAsia="仿宋_GB2312" w:cs="Times New Roman"/>
          <w:b w:val="0"/>
          <w:bCs/>
          <w:color w:val="000000"/>
          <w:kern w:val="2"/>
          <w:sz w:val="32"/>
          <w:szCs w:val="32"/>
          <w:lang w:val="en-US" w:eastAsia="zh-CN" w:bidi="ar-SA"/>
        </w:rPr>
        <w:t>等。</w:t>
      </w:r>
    </w:p>
    <w:p w14:paraId="25628C29">
      <w:pPr>
        <w:pStyle w:val="4"/>
        <w:ind w:firstLine="640"/>
        <w:rPr>
          <w:rFonts w:hint="eastAsia" w:ascii="仿宋" w:hAnsi="仿宋" w:eastAsia="仿宋"/>
          <w:b/>
          <w:bCs/>
          <w:sz w:val="32"/>
          <w:szCs w:val="32"/>
          <w:lang w:eastAsia="zh-CN"/>
        </w:rPr>
      </w:pPr>
      <w:r>
        <w:rPr>
          <w:rFonts w:hint="eastAsia" w:ascii="仿宋" w:hAnsi="仿宋" w:eastAsia="仿宋"/>
          <w:b/>
          <w:bCs/>
          <w:sz w:val="32"/>
          <w:szCs w:val="32"/>
        </w:rPr>
        <w:t>（五）职业院校人才培养方案编制状况</w:t>
      </w:r>
    </w:p>
    <w:p w14:paraId="73316266">
      <w:pPr>
        <w:ind w:firstLine="640" w:firstLineChars="200"/>
        <w:rPr>
          <w:rFonts w:hint="eastAsia" w:ascii="仿宋" w:hAnsi="仿宋" w:eastAsia="仿宋" w:cs="黑体"/>
          <w:b/>
          <w:szCs w:val="32"/>
        </w:rPr>
      </w:pPr>
      <w:r>
        <w:rPr>
          <w:rFonts w:hint="eastAsia" w:ascii="Calibri" w:hAnsi="Calibri" w:eastAsia="仿宋" w:cs="Calibri"/>
          <w:color w:val="000000"/>
          <w:kern w:val="0"/>
          <w:sz w:val="32"/>
          <w:szCs w:val="32"/>
          <w14:ligatures w14:val="none"/>
        </w:rPr>
        <w:t>调研的主要内容</w:t>
      </w:r>
      <w:r>
        <w:rPr>
          <w:rFonts w:hint="eastAsia" w:ascii="Calibri" w:hAnsi="Calibri" w:eastAsia="仿宋" w:cs="Calibri"/>
          <w:color w:val="000000"/>
          <w:kern w:val="0"/>
          <w:sz w:val="32"/>
          <w:szCs w:val="32"/>
          <w:lang w:val="en-US" w:eastAsia="zh-CN"/>
          <w14:ligatures w14:val="none"/>
        </w:rPr>
        <w:t>为</w:t>
      </w:r>
      <w:r>
        <w:rPr>
          <w:rFonts w:hint="eastAsia" w:ascii="Calibri" w:hAnsi="Calibri" w:eastAsia="仿宋" w:cs="Calibri"/>
          <w:color w:val="000000"/>
          <w:kern w:val="0"/>
          <w:sz w:val="32"/>
          <w:szCs w:val="32"/>
          <w14:ligatures w14:val="none"/>
        </w:rPr>
        <w:t>中等职业教育</w:t>
      </w:r>
      <w:r>
        <w:rPr>
          <w:rFonts w:hint="eastAsia" w:ascii="Calibri" w:hAnsi="Calibri" w:eastAsia="仿宋" w:cs="Calibri"/>
          <w:color w:val="000000"/>
          <w:kern w:val="0"/>
          <w:sz w:val="32"/>
          <w:szCs w:val="32"/>
          <w:lang w:val="en-US" w:eastAsia="zh-CN"/>
          <w14:ligatures w14:val="none"/>
        </w:rPr>
        <w:t>是否</w:t>
      </w:r>
      <w:r>
        <w:rPr>
          <w:rFonts w:hint="eastAsia" w:ascii="Calibri" w:hAnsi="Calibri" w:eastAsia="仿宋" w:cs="Calibri"/>
          <w:color w:val="000000"/>
          <w:kern w:val="0"/>
          <w:sz w:val="32"/>
          <w:szCs w:val="32"/>
          <w14:ligatures w14:val="none"/>
        </w:rPr>
        <w:t>设置国际经济与贸易专业</w:t>
      </w:r>
      <w:r>
        <w:rPr>
          <w:rFonts w:hint="eastAsia" w:ascii="Calibri" w:hAnsi="Calibri" w:eastAsia="仿宋" w:cs="Calibri"/>
          <w:color w:val="000000"/>
          <w:kern w:val="0"/>
          <w:sz w:val="32"/>
          <w:szCs w:val="32"/>
          <w:lang w:val="en-US" w:eastAsia="zh-CN"/>
          <w14:ligatures w14:val="none"/>
        </w:rPr>
        <w:t>以及</w:t>
      </w:r>
      <w:r>
        <w:rPr>
          <w:rFonts w:hint="eastAsia" w:ascii="Calibri" w:hAnsi="Calibri" w:eastAsia="仿宋" w:cs="Calibri"/>
          <w:color w:val="000000"/>
          <w:kern w:val="0"/>
          <w:sz w:val="32"/>
          <w:szCs w:val="32"/>
          <w14:ligatures w14:val="none"/>
        </w:rPr>
        <w:t>相关的中职人培方案</w:t>
      </w:r>
      <w:r>
        <w:rPr>
          <w:rFonts w:hint="eastAsia" w:ascii="Calibri" w:hAnsi="Calibri" w:eastAsia="仿宋" w:cs="Calibri"/>
          <w:color w:val="000000"/>
          <w:kern w:val="0"/>
          <w:sz w:val="32"/>
          <w:szCs w:val="32"/>
          <w:lang w:val="en-US" w:eastAsia="zh-CN"/>
          <w14:ligatures w14:val="none"/>
        </w:rPr>
        <w:t>情况，高职高专院校和职业本科院校的人才培养方案编制情况、人才培养特色、课程体系和学科优势等。</w:t>
      </w:r>
    </w:p>
    <w:p w14:paraId="4A568A8E">
      <w:pPr>
        <w:adjustRightInd w:val="0"/>
        <w:snapToGrid w:val="0"/>
        <w:spacing w:line="360" w:lineRule="auto"/>
        <w:ind w:firstLine="643" w:firstLineChars="200"/>
        <w:rPr>
          <w:rFonts w:hint="eastAsia" w:ascii="仿宋" w:hAnsi="仿宋" w:eastAsia="仿宋" w:cs="黑体"/>
          <w:b/>
          <w:szCs w:val="32"/>
          <w:highlight w:val="yellow"/>
          <w:lang w:eastAsia="zh-CN"/>
        </w:rPr>
      </w:pPr>
      <w:r>
        <w:rPr>
          <w:rFonts w:hint="eastAsia" w:ascii="仿宋" w:hAnsi="仿宋" w:eastAsia="仿宋" w:cs="黑体"/>
          <w:b/>
          <w:szCs w:val="32"/>
          <w:lang w:val="en-US" w:eastAsia="zh-CN"/>
        </w:rPr>
        <w:t>四</w:t>
      </w:r>
      <w:r>
        <w:rPr>
          <w:rFonts w:hint="eastAsia" w:ascii="仿宋" w:hAnsi="仿宋" w:eastAsia="仿宋" w:cs="黑体"/>
          <w:b/>
          <w:szCs w:val="32"/>
        </w:rPr>
        <w:t>、</w:t>
      </w:r>
      <w:bookmarkStart w:id="4" w:name="_Toc11085024"/>
      <w:r>
        <w:rPr>
          <w:rFonts w:hint="eastAsia" w:ascii="仿宋" w:hAnsi="仿宋" w:eastAsia="仿宋" w:cs="黑体"/>
          <w:b/>
          <w:szCs w:val="32"/>
        </w:rPr>
        <w:t>调研方式</w:t>
      </w:r>
      <w:bookmarkEnd w:id="4"/>
      <w:r>
        <w:rPr>
          <w:rFonts w:hint="eastAsia" w:ascii="仿宋" w:hAnsi="仿宋" w:eastAsia="仿宋" w:cs="黑体"/>
          <w:b/>
          <w:szCs w:val="32"/>
        </w:rPr>
        <w:t>方法</w:t>
      </w:r>
    </w:p>
    <w:p w14:paraId="318453F8">
      <w:pPr>
        <w:snapToGrid/>
        <w:spacing w:before="0" w:after="0" w:line="288" w:lineRule="auto"/>
        <w:ind w:left="0" w:right="0" w:firstLine="643" w:firstLineChars="200"/>
        <w:jc w:val="both"/>
        <w:rPr>
          <w:rFonts w:hint="eastAsia" w:ascii="仿宋" w:hAnsi="仿宋" w:eastAsia="仿宋" w:cs="仿宋"/>
          <w:b/>
          <w:i w:val="0"/>
          <w:strike w:val="0"/>
          <w:color w:val="auto"/>
          <w:sz w:val="32"/>
          <w:u w:val="none"/>
          <w:lang w:val="en-US" w:eastAsia="zh-CN"/>
        </w:rPr>
      </w:pPr>
      <w:r>
        <w:rPr>
          <w:rFonts w:ascii="仿宋" w:hAnsi="仿宋" w:eastAsia="仿宋" w:cs="仿宋"/>
          <w:b/>
          <w:i w:val="0"/>
          <w:strike w:val="0"/>
          <w:color w:val="auto"/>
          <w:sz w:val="32"/>
          <w:u w:val="none"/>
        </w:rPr>
        <w:t>（一）问卷</w:t>
      </w:r>
      <w:r>
        <w:rPr>
          <w:rFonts w:hint="eastAsia" w:ascii="仿宋" w:hAnsi="仿宋" w:eastAsia="仿宋" w:cs="仿宋"/>
          <w:b/>
          <w:i w:val="0"/>
          <w:strike w:val="0"/>
          <w:color w:val="auto"/>
          <w:sz w:val="32"/>
          <w:u w:val="none"/>
          <w:lang w:val="en-US" w:eastAsia="zh-CN"/>
        </w:rPr>
        <w:t>调查</w:t>
      </w:r>
    </w:p>
    <w:p w14:paraId="4F611772">
      <w:pPr>
        <w:snapToGrid/>
        <w:spacing w:before="0" w:after="0" w:line="288" w:lineRule="auto"/>
        <w:ind w:left="0" w:right="0" w:firstLine="640" w:firstLineChars="200"/>
        <w:jc w:val="both"/>
        <w:rPr>
          <w:rFonts w:hint="default"/>
          <w:lang w:val="en-US" w:eastAsia="zh-CN"/>
        </w:rPr>
      </w:pPr>
      <w:r>
        <w:rPr>
          <w:rFonts w:hint="eastAsia"/>
          <w:color w:val="000000"/>
          <w:sz w:val="32"/>
          <w:szCs w:val="32"/>
          <w:lang w:val="en-US" w:eastAsia="zh-CN"/>
        </w:rPr>
        <w:t>一是对行业企业进行问卷调查，</w:t>
      </w:r>
      <w:r>
        <w:rPr>
          <w:rFonts w:hint="eastAsia" w:ascii="Times New Roman" w:hAnsi="Times New Roman" w:eastAsia="仿宋_GB2312"/>
          <w:color w:val="000000"/>
          <w:sz w:val="32"/>
          <w:szCs w:val="32"/>
        </w:rPr>
        <w:t>旨在深入了解国际贸易行业企业对人才需求及职业面向的现状与趋势</w:t>
      </w:r>
      <w:r>
        <w:rPr>
          <w:rFonts w:hint="eastAsia"/>
          <w:color w:val="000000"/>
          <w:sz w:val="32"/>
          <w:szCs w:val="32"/>
          <w:lang w:eastAsia="zh-CN"/>
        </w:rPr>
        <w:t>，</w:t>
      </w:r>
      <w:r>
        <w:rPr>
          <w:rFonts w:hint="eastAsia" w:ascii="Times New Roman" w:hAnsi="Times New Roman" w:eastAsia="仿宋_GB2312"/>
          <w:color w:val="000000"/>
          <w:sz w:val="32"/>
          <w:szCs w:val="32"/>
        </w:rPr>
        <w:t>共收集到21份有效问卷，涵盖了高层管理者、中层管理者及基层管理者等不同职位的反馈。问卷内容涉及企业的主营产品类别、贸易方式、招聘计划、学历要求、人才类型偏好及专业技能等多个维度</w:t>
      </w:r>
      <w:r>
        <w:rPr>
          <w:rFonts w:hint="eastAsia"/>
          <w:color w:val="000000"/>
          <w:sz w:val="32"/>
          <w:szCs w:val="32"/>
          <w:lang w:eastAsia="zh-CN"/>
        </w:rPr>
        <w:t>。</w:t>
      </w:r>
      <w:r>
        <w:rPr>
          <w:rFonts w:hint="eastAsia"/>
          <w:color w:val="000000"/>
          <w:sz w:val="32"/>
          <w:szCs w:val="32"/>
          <w:lang w:val="en-US" w:eastAsia="zh-CN"/>
        </w:rPr>
        <w:t>二是对在校生和毕业生进行问卷调查，对在校生调研内容围绕国际经济与贸易专业课程设置、教学方法与内容、实践教学及其他意见与建议展开，对毕业生的调研围绕就业领域、岗位分布及职业发展等方面展开，共收到58份在校生和20份毕业生的有效问卷。</w:t>
      </w:r>
    </w:p>
    <w:p w14:paraId="22F509CC">
      <w:pPr>
        <w:numPr>
          <w:ilvl w:val="0"/>
          <w:numId w:val="3"/>
        </w:numPr>
        <w:snapToGrid/>
        <w:spacing w:before="0" w:after="0" w:line="288" w:lineRule="auto"/>
        <w:ind w:left="0" w:right="0" w:firstLine="643" w:firstLineChars="200"/>
        <w:jc w:val="both"/>
        <w:rPr>
          <w:rFonts w:ascii="仿宋" w:hAnsi="仿宋" w:eastAsia="仿宋" w:cs="仿宋"/>
          <w:b/>
          <w:i w:val="0"/>
          <w:strike w:val="0"/>
          <w:color w:val="000000"/>
          <w:sz w:val="32"/>
          <w:u w:val="none"/>
        </w:rPr>
      </w:pPr>
      <w:r>
        <w:rPr>
          <w:rFonts w:ascii="仿宋" w:hAnsi="仿宋" w:eastAsia="仿宋" w:cs="仿宋"/>
          <w:b/>
          <w:i w:val="0"/>
          <w:strike w:val="0"/>
          <w:color w:val="000000"/>
          <w:sz w:val="32"/>
          <w:u w:val="none"/>
        </w:rPr>
        <w:t>网络查询</w:t>
      </w:r>
    </w:p>
    <w:p w14:paraId="72C1C7B5">
      <w:pPr>
        <w:spacing w:line="560" w:lineRule="exact"/>
        <w:ind w:firstLine="640" w:firstLineChars="200"/>
        <w:rPr>
          <w:rFonts w:ascii="仿宋" w:hAnsi="仿宋" w:eastAsia="仿宋" w:cs="仿宋"/>
          <w:b/>
          <w:i w:val="0"/>
          <w:strike w:val="0"/>
          <w:color w:val="000000"/>
          <w:sz w:val="32"/>
          <w:u w:val="none"/>
        </w:rPr>
      </w:pPr>
      <w:r>
        <w:rPr>
          <w:rFonts w:hint="eastAsia"/>
          <w:color w:val="000000"/>
          <w:sz w:val="32"/>
          <w:szCs w:val="32"/>
          <w:lang w:val="en-US" w:eastAsia="zh-CN"/>
        </w:rPr>
        <w:t>对地址是非南宁市的中职、高职、职业本科、普通本科院校的人培方案情况主要进行了网络查询的方式，通过线上</w:t>
      </w:r>
      <w:r>
        <w:rPr>
          <w:rFonts w:hint="eastAsia" w:ascii="Times New Roman" w:hAnsi="Times New Roman" w:eastAsia="仿宋_GB2312"/>
          <w:color w:val="000000"/>
          <w:sz w:val="32"/>
          <w:szCs w:val="32"/>
          <w:lang w:val="zh-CN"/>
        </w:rPr>
        <w:t>收集对标院校官网公布的</w:t>
      </w:r>
      <w:r>
        <w:rPr>
          <w:rFonts w:hint="eastAsia"/>
          <w:color w:val="000000"/>
          <w:sz w:val="32"/>
          <w:szCs w:val="32"/>
          <w:lang w:val="en-US" w:eastAsia="zh-CN"/>
        </w:rPr>
        <w:t>人才</w:t>
      </w:r>
      <w:r>
        <w:rPr>
          <w:rFonts w:hint="eastAsia" w:ascii="Times New Roman" w:hAnsi="Times New Roman" w:eastAsia="仿宋_GB2312"/>
          <w:color w:val="000000"/>
          <w:sz w:val="32"/>
          <w:szCs w:val="32"/>
          <w:lang w:val="zh-CN"/>
        </w:rPr>
        <w:t>培养方案</w:t>
      </w:r>
      <w:r>
        <w:rPr>
          <w:rFonts w:hint="eastAsia"/>
          <w:color w:val="000000"/>
          <w:sz w:val="32"/>
          <w:szCs w:val="32"/>
          <w:lang w:val="zh-CN"/>
        </w:rPr>
        <w:t>、专业建设成果展示</w:t>
      </w:r>
      <w:r>
        <w:rPr>
          <w:rFonts w:hint="eastAsia"/>
          <w:color w:val="000000"/>
          <w:sz w:val="32"/>
          <w:szCs w:val="32"/>
          <w:lang w:val="en-US" w:eastAsia="zh-CN"/>
        </w:rPr>
        <w:t>和</w:t>
      </w:r>
      <w:r>
        <w:rPr>
          <w:rFonts w:hint="eastAsia"/>
          <w:color w:val="000000"/>
          <w:sz w:val="32"/>
          <w:szCs w:val="32"/>
          <w:lang w:val="zh-CN"/>
        </w:rPr>
        <w:t>特色课程介绍，</w:t>
      </w:r>
      <w:r>
        <w:rPr>
          <w:rFonts w:hint="eastAsia" w:ascii="Times New Roman" w:hAnsi="Times New Roman" w:eastAsia="仿宋_GB2312"/>
          <w:color w:val="000000"/>
          <w:sz w:val="32"/>
          <w:szCs w:val="32"/>
          <w:lang w:val="zh-CN"/>
        </w:rPr>
        <w:t>重点记录课程体系框架、实践教学比例、特色模块设计</w:t>
      </w:r>
      <w:r>
        <w:rPr>
          <w:rFonts w:hint="eastAsia"/>
          <w:color w:val="000000"/>
          <w:sz w:val="32"/>
          <w:szCs w:val="32"/>
          <w:lang w:val="en-US" w:eastAsia="zh-CN"/>
        </w:rPr>
        <w:t>等相关数据</w:t>
      </w:r>
      <w:r>
        <w:rPr>
          <w:rFonts w:hint="eastAsia" w:ascii="Times New Roman" w:hAnsi="Times New Roman" w:eastAsia="仿宋_GB2312"/>
          <w:color w:val="000000"/>
          <w:sz w:val="32"/>
          <w:szCs w:val="32"/>
          <w:lang w:val="zh-CN"/>
        </w:rPr>
        <w:t>，并对数据进行分析，得出</w:t>
      </w:r>
      <w:r>
        <w:rPr>
          <w:rFonts w:hint="eastAsia"/>
          <w:color w:val="000000"/>
          <w:sz w:val="32"/>
          <w:szCs w:val="32"/>
          <w:lang w:val="en-US" w:eastAsia="zh-CN"/>
        </w:rPr>
        <w:t>相关</w:t>
      </w:r>
      <w:r>
        <w:rPr>
          <w:rFonts w:hint="eastAsia" w:ascii="Times New Roman" w:hAnsi="Times New Roman" w:eastAsia="仿宋_GB2312"/>
          <w:color w:val="000000"/>
          <w:sz w:val="32"/>
          <w:szCs w:val="32"/>
          <w:lang w:val="zh-CN"/>
        </w:rPr>
        <w:t>结论</w:t>
      </w:r>
      <w:r>
        <w:rPr>
          <w:rFonts w:hint="eastAsia"/>
          <w:color w:val="000000"/>
          <w:sz w:val="32"/>
          <w:szCs w:val="32"/>
          <w:lang w:val="en-US" w:eastAsia="zh-CN"/>
        </w:rPr>
        <w:t>和建议</w:t>
      </w:r>
      <w:r>
        <w:rPr>
          <w:rFonts w:hint="eastAsia" w:ascii="Times New Roman" w:hAnsi="Times New Roman" w:eastAsia="仿宋_GB2312"/>
          <w:color w:val="000000"/>
          <w:sz w:val="32"/>
          <w:szCs w:val="32"/>
          <w:lang w:val="zh-CN"/>
        </w:rPr>
        <w:t>。</w:t>
      </w:r>
    </w:p>
    <w:p w14:paraId="67511629">
      <w:pPr>
        <w:numPr>
          <w:ilvl w:val="0"/>
          <w:numId w:val="3"/>
        </w:numPr>
        <w:snapToGrid/>
        <w:spacing w:before="0" w:after="0" w:line="288" w:lineRule="auto"/>
        <w:ind w:left="0" w:leftChars="0" w:right="0" w:firstLine="643" w:firstLineChars="200"/>
        <w:jc w:val="both"/>
        <w:rPr>
          <w:rFonts w:ascii="仿宋" w:hAnsi="仿宋" w:eastAsia="仿宋" w:cs="仿宋"/>
          <w:b/>
          <w:i w:val="0"/>
          <w:strike w:val="0"/>
          <w:color w:val="000000"/>
          <w:sz w:val="32"/>
          <w:u w:val="none"/>
        </w:rPr>
      </w:pPr>
      <w:r>
        <w:rPr>
          <w:rFonts w:ascii="仿宋" w:hAnsi="仿宋" w:eastAsia="仿宋" w:cs="仿宋"/>
          <w:b/>
          <w:i w:val="0"/>
          <w:strike w:val="0"/>
          <w:color w:val="000000"/>
          <w:sz w:val="32"/>
          <w:u w:val="none"/>
        </w:rPr>
        <w:t>查阅文献</w:t>
      </w:r>
    </w:p>
    <w:p w14:paraId="73147381">
      <w:pPr>
        <w:spacing w:line="560" w:lineRule="exact"/>
        <w:ind w:firstLine="640" w:firstLineChars="200"/>
        <w:rPr>
          <w:rFonts w:ascii="仿宋" w:hAnsi="仿宋" w:eastAsia="仿宋" w:cs="仿宋"/>
          <w:b/>
          <w:i w:val="0"/>
          <w:strike w:val="0"/>
          <w:color w:val="000000"/>
          <w:sz w:val="32"/>
          <w:u w:val="none"/>
        </w:rPr>
      </w:pPr>
      <w:r>
        <w:rPr>
          <w:rFonts w:hint="eastAsia"/>
          <w:color w:val="000000"/>
          <w:sz w:val="32"/>
          <w:szCs w:val="32"/>
          <w:lang w:val="en-US" w:eastAsia="zh-CN"/>
        </w:rPr>
        <w:t>一是对国际经济与贸易专业服务面向产业的发展现状及趋势，专业团队通过查阅中国海关、国家统计局、广西国民经济和社会发展统计公报等官网文献数据，进行了梳理和总结。二是</w:t>
      </w:r>
      <w:r>
        <w:rPr>
          <w:rFonts w:hint="eastAsia" w:ascii="Times New Roman" w:hAnsi="Times New Roman" w:eastAsia="仿宋_GB2312"/>
          <w:color w:val="000000"/>
          <w:sz w:val="32"/>
          <w:szCs w:val="32"/>
          <w:lang w:val="zh-CN"/>
        </w:rPr>
        <w:t>国贸专业团队围绕</w:t>
      </w:r>
      <w:r>
        <w:rPr>
          <w:rFonts w:hint="eastAsia"/>
          <w:color w:val="000000"/>
          <w:sz w:val="32"/>
          <w:szCs w:val="32"/>
          <w:lang w:val="en-US" w:eastAsia="zh-CN"/>
        </w:rPr>
        <w:t>职业本科人才培养方案制定</w:t>
      </w:r>
      <w:r>
        <w:rPr>
          <w:rFonts w:hint="eastAsia" w:ascii="Times New Roman" w:hAnsi="Times New Roman" w:eastAsia="仿宋_GB2312"/>
          <w:color w:val="000000"/>
          <w:sz w:val="32"/>
          <w:szCs w:val="32"/>
          <w:lang w:val="zh-CN"/>
        </w:rPr>
        <w:t>的需要</w:t>
      </w:r>
      <w:r>
        <w:rPr>
          <w:rFonts w:hint="eastAsia"/>
          <w:color w:val="000000"/>
          <w:sz w:val="32"/>
          <w:szCs w:val="32"/>
          <w:lang w:val="zh-CN"/>
        </w:rPr>
        <w:t>，</w:t>
      </w:r>
      <w:r>
        <w:rPr>
          <w:rFonts w:hint="eastAsia"/>
          <w:color w:val="000000"/>
          <w:sz w:val="32"/>
          <w:szCs w:val="32"/>
          <w:lang w:val="en-US" w:eastAsia="zh-CN"/>
        </w:rPr>
        <w:t>在</w:t>
      </w:r>
      <w:r>
        <w:rPr>
          <w:rFonts w:hint="eastAsia"/>
          <w:color w:val="000000"/>
          <w:sz w:val="32"/>
          <w:szCs w:val="32"/>
          <w:lang w:val="zh-CN"/>
        </w:rPr>
        <w:t>知网、</w:t>
      </w:r>
      <w:r>
        <w:rPr>
          <w:rFonts w:hint="eastAsia"/>
          <w:color w:val="000000"/>
          <w:sz w:val="32"/>
          <w:szCs w:val="32"/>
          <w:lang w:val="en-US" w:eastAsia="zh-CN"/>
        </w:rPr>
        <w:t>万方、维普等数据库以</w:t>
      </w:r>
      <w:r>
        <w:rPr>
          <w:rFonts w:hint="eastAsia"/>
          <w:color w:val="000000"/>
          <w:sz w:val="32"/>
          <w:szCs w:val="32"/>
          <w:lang w:val="zh-CN"/>
        </w:rPr>
        <w:t>关键词“国际经济与贸易+人才培养”</w:t>
      </w:r>
      <w:r>
        <w:rPr>
          <w:rFonts w:hint="eastAsia" w:ascii="Times New Roman" w:hAnsi="Times New Roman" w:eastAsia="仿宋_GB2312"/>
          <w:color w:val="000000"/>
          <w:sz w:val="32"/>
          <w:szCs w:val="32"/>
          <w:lang w:val="zh-CN"/>
        </w:rPr>
        <w:t>有目的有计划地查阅近5年核心期刊文献</w:t>
      </w:r>
      <w:r>
        <w:rPr>
          <w:rFonts w:hint="eastAsia"/>
          <w:color w:val="000000"/>
          <w:sz w:val="32"/>
          <w:szCs w:val="32"/>
          <w:lang w:val="zh-CN"/>
        </w:rPr>
        <w:t>，</w:t>
      </w:r>
      <w:r>
        <w:rPr>
          <w:rFonts w:hint="eastAsia" w:ascii="Times New Roman" w:hAnsi="Times New Roman" w:eastAsia="仿宋_GB2312"/>
          <w:color w:val="000000"/>
          <w:sz w:val="32"/>
          <w:szCs w:val="32"/>
          <w:lang w:val="zh-CN"/>
        </w:rPr>
        <w:t>筛选</w:t>
      </w:r>
      <w:r>
        <w:rPr>
          <w:rFonts w:hint="eastAsia"/>
          <w:color w:val="000000"/>
          <w:sz w:val="32"/>
          <w:szCs w:val="32"/>
          <w:lang w:val="en-US" w:eastAsia="zh-CN"/>
        </w:rPr>
        <w:t>出</w:t>
      </w:r>
      <w:r>
        <w:rPr>
          <w:rFonts w:hint="eastAsia" w:ascii="Times New Roman" w:hAnsi="Times New Roman" w:eastAsia="仿宋_GB2312"/>
          <w:color w:val="000000"/>
          <w:sz w:val="32"/>
          <w:szCs w:val="32"/>
          <w:lang w:val="zh-CN"/>
        </w:rPr>
        <w:t>高被引论文</w:t>
      </w:r>
      <w:r>
        <w:rPr>
          <w:rFonts w:hint="eastAsia"/>
          <w:color w:val="000000"/>
          <w:sz w:val="32"/>
          <w:szCs w:val="32"/>
          <w:lang w:val="zh-CN"/>
        </w:rPr>
        <w:t>，</w:t>
      </w:r>
      <w:r>
        <w:rPr>
          <w:rFonts w:hint="eastAsia"/>
          <w:color w:val="000000"/>
          <w:sz w:val="32"/>
          <w:szCs w:val="32"/>
          <w:lang w:val="en-US" w:eastAsia="zh-CN"/>
        </w:rPr>
        <w:t>重点参考</w:t>
      </w:r>
      <w:r>
        <w:rPr>
          <w:rFonts w:hint="eastAsia"/>
          <w:color w:val="000000"/>
          <w:sz w:val="32"/>
          <w:szCs w:val="32"/>
          <w:lang w:val="zh-CN"/>
        </w:rPr>
        <w:t>人才培养模式、创新产教融合典型案例</w:t>
      </w:r>
      <w:r>
        <w:rPr>
          <w:rFonts w:hint="eastAsia"/>
          <w:color w:val="000000"/>
          <w:sz w:val="32"/>
          <w:szCs w:val="32"/>
          <w:lang w:val="en-US" w:eastAsia="zh-CN"/>
        </w:rPr>
        <w:t>等方面的文献，</w:t>
      </w:r>
      <w:r>
        <w:rPr>
          <w:rFonts w:hint="eastAsia" w:ascii="Times New Roman" w:hAnsi="Times New Roman" w:eastAsia="仿宋_GB2312"/>
          <w:color w:val="000000"/>
          <w:sz w:val="32"/>
          <w:szCs w:val="32"/>
        </w:rPr>
        <w:t>完成本次调研报告的撰写。</w:t>
      </w:r>
    </w:p>
    <w:p w14:paraId="35B55DD1">
      <w:pPr>
        <w:numPr>
          <w:ilvl w:val="0"/>
          <w:numId w:val="3"/>
        </w:numPr>
        <w:snapToGrid/>
        <w:spacing w:before="0" w:after="0" w:line="288" w:lineRule="auto"/>
        <w:ind w:left="0" w:leftChars="0" w:right="0" w:firstLine="643" w:firstLineChars="200"/>
        <w:jc w:val="both"/>
        <w:rPr>
          <w:rFonts w:ascii="仿宋" w:hAnsi="仿宋" w:eastAsia="仿宋" w:cs="仿宋"/>
          <w:b/>
          <w:i w:val="0"/>
          <w:strike w:val="0"/>
          <w:color w:val="000000"/>
          <w:sz w:val="32"/>
          <w:u w:val="none"/>
        </w:rPr>
      </w:pPr>
      <w:r>
        <w:rPr>
          <w:rFonts w:ascii="仿宋" w:hAnsi="仿宋" w:eastAsia="仿宋" w:cs="仿宋"/>
          <w:b/>
          <w:i w:val="0"/>
          <w:strike w:val="0"/>
          <w:color w:val="000000"/>
          <w:sz w:val="32"/>
          <w:u w:val="none"/>
        </w:rPr>
        <w:t>调研访谈</w:t>
      </w:r>
    </w:p>
    <w:p w14:paraId="2C4C7DDA">
      <w:pPr>
        <w:spacing w:line="560" w:lineRule="exact"/>
        <w:ind w:firstLine="640" w:firstLineChars="200"/>
        <w:rPr>
          <w:rFonts w:hint="default" w:ascii="Times New Roman" w:hAnsi="Times New Roman" w:eastAsia="仿宋_GB2312" w:cs="仿宋"/>
          <w:b/>
          <w:i w:val="0"/>
          <w:strike w:val="0"/>
          <w:color w:val="000000"/>
          <w:sz w:val="32"/>
          <w:szCs w:val="32"/>
          <w:u w:val="none"/>
          <w:lang w:val="en-US" w:eastAsia="zh-CN"/>
        </w:rPr>
      </w:pPr>
      <w:r>
        <w:rPr>
          <w:rFonts w:hint="eastAsia" w:ascii="Times New Roman" w:hAnsi="Times New Roman" w:eastAsia="仿宋_GB2312"/>
          <w:color w:val="000000"/>
          <w:sz w:val="32"/>
          <w:szCs w:val="32"/>
          <w:lang w:val="zh-CN"/>
        </w:rPr>
        <w:t>国贸专业团队</w:t>
      </w:r>
      <w:r>
        <w:rPr>
          <w:rFonts w:hint="eastAsia"/>
          <w:color w:val="000000"/>
          <w:sz w:val="32"/>
          <w:szCs w:val="32"/>
          <w:lang w:val="en-US" w:eastAsia="zh-CN"/>
        </w:rPr>
        <w:t>主要对部分行业企业、在南宁市的院校和一些在校生进行了</w:t>
      </w:r>
      <w:r>
        <w:rPr>
          <w:rFonts w:hint="eastAsia" w:ascii="Times New Roman" w:hAnsi="Times New Roman" w:eastAsia="仿宋_GB2312"/>
          <w:color w:val="000000"/>
          <w:sz w:val="32"/>
          <w:szCs w:val="32"/>
          <w:lang w:val="zh-CN"/>
        </w:rPr>
        <w:t>走访</w:t>
      </w:r>
      <w:r>
        <w:rPr>
          <w:rFonts w:hint="eastAsia"/>
          <w:color w:val="000000"/>
          <w:sz w:val="32"/>
          <w:szCs w:val="32"/>
          <w:lang w:val="en-US" w:eastAsia="zh-CN"/>
        </w:rPr>
        <w:t>面对面访谈或电话访谈</w:t>
      </w:r>
      <w:r>
        <w:rPr>
          <w:rFonts w:hint="eastAsia" w:ascii="Times New Roman" w:hAnsi="Times New Roman" w:eastAsia="仿宋_GB2312"/>
          <w:color w:val="000000"/>
          <w:sz w:val="32"/>
          <w:szCs w:val="32"/>
          <w:lang w:val="zh-CN"/>
        </w:rPr>
        <w:t>，通过访谈不同的调研对象来获取相关调研信息</w:t>
      </w:r>
      <w:r>
        <w:rPr>
          <w:rFonts w:hint="eastAsia"/>
          <w:color w:val="000000"/>
          <w:sz w:val="32"/>
          <w:szCs w:val="32"/>
          <w:lang w:val="zh-CN"/>
        </w:rPr>
        <w:t>：</w:t>
      </w:r>
      <w:r>
        <w:rPr>
          <w:rFonts w:hint="eastAsia"/>
          <w:color w:val="000000"/>
          <w:sz w:val="32"/>
          <w:szCs w:val="32"/>
          <w:lang w:val="en-US" w:eastAsia="zh-CN"/>
        </w:rPr>
        <w:t>对</w:t>
      </w:r>
      <w:r>
        <w:rPr>
          <w:rFonts w:hint="eastAsia" w:ascii="Times New Roman" w:hAnsi="Times New Roman" w:eastAsia="仿宋_GB2312"/>
          <w:color w:val="000000"/>
          <w:sz w:val="32"/>
          <w:szCs w:val="32"/>
          <w:lang w:val="zh-CN"/>
        </w:rPr>
        <w:t>企业</w:t>
      </w:r>
      <w:r>
        <w:rPr>
          <w:rFonts w:hint="eastAsia"/>
          <w:color w:val="000000"/>
          <w:sz w:val="32"/>
          <w:szCs w:val="32"/>
          <w:lang w:val="zh-CN"/>
        </w:rPr>
        <w:t>的</w:t>
      </w:r>
      <w:r>
        <w:rPr>
          <w:rFonts w:hint="eastAsia"/>
          <w:color w:val="000000"/>
          <w:sz w:val="32"/>
          <w:szCs w:val="32"/>
          <w:lang w:val="en-US" w:eastAsia="zh-CN"/>
        </w:rPr>
        <w:t>访谈</w:t>
      </w:r>
      <w:r>
        <w:rPr>
          <w:rFonts w:hint="eastAsia" w:ascii="Times New Roman" w:hAnsi="Times New Roman" w:eastAsia="仿宋_GB2312"/>
          <w:color w:val="000000"/>
          <w:sz w:val="32"/>
          <w:szCs w:val="32"/>
          <w:lang w:val="zh-CN"/>
        </w:rPr>
        <w:t>侧重人才需求变化</w:t>
      </w:r>
      <w:r>
        <w:rPr>
          <w:rFonts w:hint="eastAsia"/>
          <w:color w:val="000000"/>
          <w:sz w:val="32"/>
          <w:szCs w:val="32"/>
          <w:lang w:val="zh-CN"/>
        </w:rPr>
        <w:t>，</w:t>
      </w:r>
      <w:r>
        <w:rPr>
          <w:rFonts w:hint="eastAsia"/>
          <w:color w:val="000000"/>
          <w:sz w:val="32"/>
          <w:szCs w:val="32"/>
          <w:lang w:val="en-US" w:eastAsia="zh-CN"/>
        </w:rPr>
        <w:t>对</w:t>
      </w:r>
      <w:r>
        <w:rPr>
          <w:rFonts w:hint="eastAsia" w:ascii="Times New Roman" w:hAnsi="Times New Roman" w:eastAsia="仿宋_GB2312"/>
          <w:color w:val="000000"/>
          <w:sz w:val="32"/>
          <w:szCs w:val="32"/>
          <w:lang w:val="zh-CN"/>
        </w:rPr>
        <w:t>院校</w:t>
      </w:r>
      <w:r>
        <w:rPr>
          <w:rFonts w:hint="eastAsia"/>
          <w:color w:val="000000"/>
          <w:sz w:val="32"/>
          <w:szCs w:val="32"/>
          <w:lang w:val="zh-CN"/>
        </w:rPr>
        <w:t>的</w:t>
      </w:r>
      <w:r>
        <w:rPr>
          <w:rFonts w:hint="eastAsia"/>
          <w:color w:val="000000"/>
          <w:sz w:val="32"/>
          <w:szCs w:val="32"/>
          <w:lang w:val="en-US" w:eastAsia="zh-CN"/>
        </w:rPr>
        <w:t>访谈主要</w:t>
      </w:r>
      <w:r>
        <w:rPr>
          <w:rFonts w:hint="eastAsia" w:ascii="Times New Roman" w:hAnsi="Times New Roman" w:eastAsia="仿宋_GB2312"/>
          <w:color w:val="000000"/>
          <w:sz w:val="32"/>
          <w:szCs w:val="32"/>
          <w:lang w:val="zh-CN"/>
        </w:rPr>
        <w:t>关注特色做法</w:t>
      </w:r>
      <w:r>
        <w:rPr>
          <w:rFonts w:hint="eastAsia"/>
          <w:color w:val="000000"/>
          <w:sz w:val="32"/>
          <w:szCs w:val="32"/>
          <w:lang w:val="zh-CN"/>
        </w:rPr>
        <w:t>，</w:t>
      </w:r>
      <w:r>
        <w:rPr>
          <w:rFonts w:hint="eastAsia"/>
          <w:color w:val="000000"/>
          <w:sz w:val="32"/>
          <w:szCs w:val="32"/>
          <w:lang w:val="en-US" w:eastAsia="zh-CN"/>
        </w:rPr>
        <w:t>对在校生</w:t>
      </w:r>
      <w:r>
        <w:rPr>
          <w:rFonts w:hint="eastAsia"/>
          <w:color w:val="000000"/>
          <w:sz w:val="32"/>
          <w:szCs w:val="32"/>
          <w:lang w:val="zh-CN"/>
        </w:rPr>
        <w:t>的</w:t>
      </w:r>
      <w:r>
        <w:rPr>
          <w:rFonts w:hint="eastAsia"/>
          <w:color w:val="000000"/>
          <w:sz w:val="32"/>
          <w:szCs w:val="32"/>
          <w:lang w:val="en-US" w:eastAsia="zh-CN"/>
        </w:rPr>
        <w:t xml:space="preserve">访谈聚焦专业课程设置、教学方法与内容、实践教学等方面。    </w:t>
      </w:r>
    </w:p>
    <w:p w14:paraId="58410724">
      <w:pPr>
        <w:numPr>
          <w:ilvl w:val="0"/>
          <w:numId w:val="3"/>
        </w:numPr>
        <w:snapToGrid/>
        <w:spacing w:before="0" w:after="0" w:line="288" w:lineRule="auto"/>
        <w:ind w:left="0" w:leftChars="0" w:right="0" w:firstLine="643" w:firstLineChars="200"/>
        <w:jc w:val="both"/>
        <w:rPr>
          <w:rFonts w:ascii="仿宋" w:hAnsi="仿宋" w:eastAsia="仿宋" w:cs="仿宋"/>
          <w:b/>
          <w:i w:val="0"/>
          <w:strike w:val="0"/>
          <w:color w:val="000000"/>
          <w:sz w:val="32"/>
          <w:u w:val="none"/>
        </w:rPr>
      </w:pPr>
      <w:r>
        <w:rPr>
          <w:rFonts w:ascii="仿宋" w:hAnsi="仿宋" w:eastAsia="仿宋" w:cs="仿宋"/>
          <w:b/>
          <w:i w:val="0"/>
          <w:strike w:val="0"/>
          <w:color w:val="000000"/>
          <w:sz w:val="32"/>
          <w:u w:val="none"/>
        </w:rPr>
        <w:t>参观考察</w:t>
      </w:r>
    </w:p>
    <w:p w14:paraId="630AA92B">
      <w:pPr>
        <w:spacing w:line="560" w:lineRule="exact"/>
        <w:ind w:firstLine="640" w:firstLineChars="200"/>
        <w:rPr>
          <w:rFonts w:hint="eastAsia" w:ascii="Times New Roman" w:hAnsi="Times New Roman" w:eastAsia="仿宋_GB2312"/>
          <w:color w:val="000000"/>
          <w:sz w:val="32"/>
          <w:szCs w:val="32"/>
          <w:lang w:val="zh-CN"/>
        </w:rPr>
      </w:pPr>
      <w:r>
        <w:rPr>
          <w:rFonts w:hint="eastAsia" w:ascii="Times New Roman" w:hAnsi="Times New Roman" w:eastAsia="仿宋_GB2312"/>
          <w:color w:val="000000"/>
          <w:sz w:val="32"/>
          <w:szCs w:val="32"/>
        </w:rPr>
        <w:t>国贸专业团队</w:t>
      </w:r>
      <w:r>
        <w:rPr>
          <w:rFonts w:hint="eastAsia"/>
          <w:color w:val="000000"/>
          <w:sz w:val="32"/>
          <w:szCs w:val="32"/>
          <w:lang w:val="en-US" w:eastAsia="zh-CN"/>
        </w:rPr>
        <w:t>参观考察了</w:t>
      </w:r>
      <w:r>
        <w:rPr>
          <w:rFonts w:hint="eastAsia" w:ascii="Times New Roman" w:hAnsi="Times New Roman" w:eastAsia="仿宋_GB2312"/>
          <w:color w:val="000000"/>
          <w:sz w:val="32"/>
          <w:szCs w:val="32"/>
        </w:rPr>
        <w:t>广西钦保国际贸易有限公司</w:t>
      </w:r>
      <w:r>
        <w:rPr>
          <w:rFonts w:hint="eastAsia"/>
          <w:color w:val="000000"/>
          <w:sz w:val="32"/>
          <w:szCs w:val="32"/>
          <w:lang w:eastAsia="zh-CN"/>
        </w:rPr>
        <w:t>、皇氏广西贸易有限公司</w:t>
      </w:r>
      <w:r>
        <w:rPr>
          <w:rFonts w:hint="eastAsia"/>
          <w:color w:val="000000"/>
          <w:sz w:val="32"/>
          <w:szCs w:val="32"/>
          <w:lang w:val="en-US" w:eastAsia="zh-CN"/>
        </w:rPr>
        <w:t>和</w:t>
      </w:r>
      <w:r>
        <w:rPr>
          <w:rFonts w:hint="eastAsia"/>
          <w:color w:val="000000"/>
          <w:sz w:val="32"/>
          <w:szCs w:val="32"/>
          <w:lang w:eastAsia="zh-CN"/>
        </w:rPr>
        <w:t>广西自贸区滨海国际经贸有限公司</w:t>
      </w:r>
      <w:r>
        <w:rPr>
          <w:rFonts w:hint="eastAsia"/>
          <w:color w:val="000000"/>
          <w:sz w:val="32"/>
          <w:szCs w:val="32"/>
          <w:lang w:val="en-US" w:eastAsia="zh-CN"/>
        </w:rPr>
        <w:t>三家公司的工作</w:t>
      </w:r>
      <w:r>
        <w:rPr>
          <w:rFonts w:hint="eastAsia" w:ascii="Times New Roman" w:hAnsi="Times New Roman" w:eastAsia="仿宋_GB2312"/>
          <w:color w:val="000000"/>
          <w:sz w:val="32"/>
          <w:szCs w:val="32"/>
        </w:rPr>
        <w:t>现场，了解企业的新业务新技术发展、企业经营状况及人才需求等</w:t>
      </w:r>
      <w:r>
        <w:rPr>
          <w:rFonts w:hint="eastAsia"/>
          <w:color w:val="000000"/>
          <w:sz w:val="32"/>
          <w:szCs w:val="32"/>
          <w:lang w:eastAsia="zh-CN"/>
        </w:rPr>
        <w:t>，</w:t>
      </w:r>
      <w:r>
        <w:rPr>
          <w:rFonts w:hint="eastAsia" w:ascii="Times New Roman" w:hAnsi="Times New Roman" w:eastAsia="仿宋_GB2312"/>
          <w:color w:val="000000"/>
          <w:sz w:val="32"/>
          <w:szCs w:val="32"/>
        </w:rPr>
        <w:t>掌握第一手</w:t>
      </w:r>
      <w:r>
        <w:rPr>
          <w:rFonts w:hint="eastAsia"/>
          <w:color w:val="000000"/>
          <w:sz w:val="32"/>
          <w:szCs w:val="32"/>
          <w:lang w:eastAsia="zh-CN"/>
        </w:rPr>
        <w:t>的</w:t>
      </w:r>
      <w:r>
        <w:rPr>
          <w:rFonts w:hint="eastAsia" w:ascii="Times New Roman" w:hAnsi="Times New Roman" w:eastAsia="仿宋_GB2312"/>
          <w:color w:val="000000"/>
          <w:sz w:val="32"/>
          <w:szCs w:val="32"/>
        </w:rPr>
        <w:t>企业工作场景、培训体系</w:t>
      </w:r>
      <w:r>
        <w:rPr>
          <w:rFonts w:hint="eastAsia"/>
          <w:color w:val="000000"/>
          <w:sz w:val="32"/>
          <w:szCs w:val="32"/>
          <w:lang w:val="en-US" w:eastAsia="zh-CN"/>
        </w:rPr>
        <w:t>等资料</w:t>
      </w:r>
      <w:r>
        <w:rPr>
          <w:rFonts w:hint="eastAsia" w:ascii="Times New Roman" w:hAnsi="Times New Roman" w:eastAsia="仿宋_GB2312"/>
          <w:color w:val="000000"/>
          <w:sz w:val="32"/>
          <w:szCs w:val="32"/>
          <w:lang w:val="zh-CN"/>
        </w:rPr>
        <w:t>。</w:t>
      </w:r>
    </w:p>
    <w:p w14:paraId="34593F17">
      <w:pPr>
        <w:pStyle w:val="4"/>
        <w:rPr>
          <w:rFonts w:hint="default" w:eastAsia="仿宋"/>
          <w:lang w:val="en-US" w:eastAsia="zh-CN"/>
        </w:rPr>
      </w:pPr>
      <w:r>
        <w:rPr>
          <w:rFonts w:hint="eastAsia" w:ascii="仿宋" w:hAnsi="仿宋" w:eastAsia="仿宋" w:cs="楷体"/>
          <w:b/>
          <w:bCs/>
          <w:szCs w:val="32"/>
          <w:lang w:val="en-US" w:eastAsia="zh-CN"/>
        </w:rPr>
        <w:t xml:space="preserve">  </w:t>
      </w:r>
    </w:p>
    <w:p w14:paraId="2706AF2B">
      <w:pPr>
        <w:adjustRightInd w:val="0"/>
        <w:snapToGrid w:val="0"/>
        <w:spacing w:line="360" w:lineRule="auto"/>
        <w:ind w:firstLine="803" w:firstLineChars="250"/>
        <w:rPr>
          <w:rFonts w:hint="eastAsia" w:ascii="仿宋" w:hAnsi="仿宋" w:eastAsia="仿宋" w:cs="黑体"/>
          <w:b/>
          <w:szCs w:val="32"/>
          <w:highlight w:val="yellow"/>
          <w:lang w:eastAsia="zh-CN"/>
        </w:rPr>
      </w:pPr>
      <w:r>
        <w:rPr>
          <w:rFonts w:hint="eastAsia" w:ascii="仿宋" w:hAnsi="仿宋" w:eastAsia="仿宋" w:cs="黑体"/>
          <w:b/>
          <w:szCs w:val="32"/>
          <w:lang w:val="en-US" w:eastAsia="zh-CN"/>
        </w:rPr>
        <w:t>五</w:t>
      </w:r>
      <w:r>
        <w:rPr>
          <w:rFonts w:hint="eastAsia" w:ascii="仿宋" w:hAnsi="仿宋" w:eastAsia="仿宋" w:cs="黑体"/>
          <w:b/>
          <w:szCs w:val="32"/>
        </w:rPr>
        <w:t>、调研结果分析</w:t>
      </w:r>
    </w:p>
    <w:p w14:paraId="579CC968">
      <w:pPr>
        <w:spacing w:line="288" w:lineRule="auto"/>
        <w:ind w:firstLine="643" w:firstLineChars="200"/>
        <w:rPr>
          <w:rFonts w:hint="eastAsia" w:ascii="仿宋" w:hAnsi="仿宋" w:eastAsia="仿宋" w:cs="楷体"/>
          <w:b/>
          <w:bCs/>
          <w:szCs w:val="32"/>
          <w:highlight w:val="yellow"/>
          <w:lang w:eastAsia="zh-CN"/>
        </w:rPr>
      </w:pPr>
      <w:r>
        <w:rPr>
          <w:rFonts w:hint="eastAsia" w:ascii="仿宋" w:hAnsi="仿宋" w:eastAsia="仿宋" w:cs="楷体"/>
          <w:b/>
          <w:bCs/>
          <w:szCs w:val="32"/>
        </w:rPr>
        <w:t>（一）</w:t>
      </w:r>
      <w:r>
        <w:rPr>
          <w:rFonts w:hint="eastAsia" w:ascii="仿宋" w:hAnsi="仿宋" w:eastAsia="仿宋" w:cs="楷体"/>
          <w:b/>
          <w:bCs/>
          <w:szCs w:val="32"/>
          <w:lang w:eastAsia="zh-CN"/>
        </w:rPr>
        <w:t>专业服务面向产业的发展现状及趋势</w:t>
      </w:r>
    </w:p>
    <w:p w14:paraId="7555D963">
      <w:pPr>
        <w:spacing w:line="288" w:lineRule="auto"/>
        <w:ind w:firstLine="960" w:firstLineChars="300"/>
        <w:rPr>
          <w:rFonts w:hint="eastAsia" w:ascii="仿宋" w:hAnsi="仿宋" w:eastAsia="仿宋" w:cs="楷体"/>
          <w:b w:val="0"/>
          <w:bCs w:val="0"/>
          <w:szCs w:val="32"/>
          <w:lang w:val="en-US" w:eastAsia="zh-CN"/>
        </w:rPr>
      </w:pPr>
      <w:r>
        <w:rPr>
          <w:rFonts w:hint="eastAsia" w:ascii="仿宋" w:hAnsi="仿宋" w:eastAsia="仿宋" w:cs="楷体"/>
          <w:b w:val="0"/>
          <w:bCs w:val="0"/>
          <w:szCs w:val="32"/>
          <w:lang w:val="en-US" w:eastAsia="zh-CN"/>
        </w:rPr>
        <w:t>1.产业的发展现状</w:t>
      </w:r>
    </w:p>
    <w:p w14:paraId="4DD124A5">
      <w:pPr>
        <w:pStyle w:val="4"/>
        <w:rPr>
          <w:rFonts w:hint="default" w:ascii="仿宋" w:hAnsi="仿宋" w:eastAsia="仿宋" w:cs="楷体"/>
          <w:b w:val="0"/>
          <w:bCs w:val="0"/>
          <w:kern w:val="2"/>
          <w:sz w:val="32"/>
          <w:szCs w:val="32"/>
          <w:lang w:val="en-US" w:eastAsia="zh-CN" w:bidi="ar-SA"/>
        </w:rPr>
      </w:pPr>
      <w:r>
        <w:rPr>
          <w:rFonts w:hint="eastAsia" w:ascii="仿宋" w:hAnsi="仿宋" w:eastAsia="仿宋" w:cs="楷体"/>
          <w:b w:val="0"/>
          <w:bCs w:val="0"/>
          <w:szCs w:val="32"/>
          <w:lang w:val="en-US" w:eastAsia="zh-CN"/>
        </w:rPr>
        <w:t xml:space="preserve">   </w:t>
      </w:r>
      <w:r>
        <w:rPr>
          <w:rFonts w:hint="eastAsia" w:ascii="仿宋" w:hAnsi="仿宋" w:eastAsia="仿宋" w:cs="楷体"/>
          <w:b w:val="0"/>
          <w:bCs w:val="0"/>
          <w:kern w:val="2"/>
          <w:sz w:val="32"/>
          <w:szCs w:val="32"/>
          <w:lang w:val="en-US" w:eastAsia="zh-CN" w:bidi="ar-SA"/>
        </w:rPr>
        <w:t>（1）全国层面</w:t>
      </w:r>
    </w:p>
    <w:p w14:paraId="5EE53D67">
      <w:pPr>
        <w:pStyle w:val="4"/>
        <w:ind w:left="0" w:leftChars="0" w:firstLine="640" w:firstLineChars="200"/>
        <w:rPr>
          <w:rFonts w:hint="eastAsia"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2024年，我国外贸既有量的合理增长，又有质的有效提升，实现了高质量发展。据海关统计，2024年，我国货物贸易进出口总值43.85万亿元，同比增长5%。其中，出口规模首次突破25万亿元，达到25.45万亿元，同比增长7.1%，连续8年保持增长，展现出较强的竞争力，进口18.39万亿元，增长2.3%。2024年，我国市场多元化稳步推进。我国对共建“一带一路”国家合计进出口22.07万亿元，同比增长6.4%，占我国进出口总值的50.3%。其中，对东盟进出口6.99万亿元，同比增长9%，连续5年互为第一大贸易伙伴。同期，我国对欧盟、美国进出口同比分别增长1.6%、4.9%。</w:t>
      </w:r>
    </w:p>
    <w:p w14:paraId="356F683C">
      <w:pPr>
        <w:pStyle w:val="4"/>
        <w:rPr>
          <w:rFonts w:hint="eastAsia"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再从质上来说，我国外贸主要呈现以下四个方面的特点：</w:t>
      </w:r>
    </w:p>
    <w:p w14:paraId="00404FE4">
      <w:pPr>
        <w:pStyle w:val="4"/>
        <w:rPr>
          <w:rFonts w:hint="eastAsia"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一是结构更优。我国出口产品的结构不断优化升级，去年机电产品的出口增长了8.7%，占出口总值的比重提升了0.9个百分点，达到了59.4%，其中高端装备出口增长超过4成。进口产品持续多元有效供给，机电产品进口增长7.3%，大宗商品进口量增加了5%，其中能矿产品从共建“一带一路”国家进口的比重提升0.3个百分点。</w:t>
      </w:r>
    </w:p>
    <w:p w14:paraId="513C5D03">
      <w:pPr>
        <w:pStyle w:val="4"/>
        <w:rPr>
          <w:rFonts w:hint="eastAsia"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二是“新”意更足。2024年，我国新产品新业态新品牌不断涌现，外贸含“新”量不断上升，更多高科技属性的新产品加速出海，电动汽车、3D打印机、工业机器人出口分别实现了13.1%、32.8%、45.2%的增长。跨境电商新业态全年进出口达到了2.63万亿元，比2020年多了1万亿元。自主品牌圈粉无数，占我国出口比重同比提升0.8个百分点到了21.8%，国货潮牌在世界各地刮起了“中国风”。</w:t>
      </w:r>
    </w:p>
    <w:p w14:paraId="604BDE9F">
      <w:pPr>
        <w:pStyle w:val="4"/>
        <w:rPr>
          <w:rFonts w:hint="eastAsia"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三是主体更强。2024年，我国有进出口记录的经营主体近70万家，数量再创新高。去年中国海关在深圳承办了第六届全球“经认证的经营者”（AEO）大会，越来越多外贸企业乘势而上，拥有了AEO这一块全球通行的“金字招牌”，截至2024年底，我国AEO企业数量达6338家，比2023年底增加了612家。</w:t>
      </w:r>
    </w:p>
    <w:p w14:paraId="749A5D49">
      <w:pPr>
        <w:pStyle w:val="4"/>
        <w:rPr>
          <w:rFonts w:hint="eastAsia"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四是伙伴更多。我们的贸易伙伴遍天下，2024年，我国对联合国统计分组中几乎全部国家和地区都有进出口记录，其中出口和进口伙伴分别比2023年增加了1个和4个，对160多个伙伴实现进出口增长。</w:t>
      </w:r>
    </w:p>
    <w:p w14:paraId="499F23BC">
      <w:pPr>
        <w:pStyle w:val="4"/>
        <w:numPr>
          <w:ilvl w:val="0"/>
          <w:numId w:val="4"/>
        </w:numPr>
        <w:rPr>
          <w:rFonts w:hint="default"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广西层面</w:t>
      </w:r>
    </w:p>
    <w:p w14:paraId="4527BC71">
      <w:pPr>
        <w:pStyle w:val="4"/>
        <w:numPr>
          <w:ilvl w:val="0"/>
          <w:numId w:val="0"/>
        </w:numPr>
        <w:ind w:firstLine="640" w:firstLineChars="200"/>
        <w:rPr>
          <w:rFonts w:hint="default"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据海关统计，2024年，广西外贸进出口7563.9亿元，比去年同期（下同）增长9.4%。其中，出口4427.9亿元，增长22.1%；进口3136亿元，下降4.6%。同期，我国进出口43.85万亿元，增长5%。广西外贸规模排全国第13、西部第2位；增速排全国第11、西部第8位。具体呈现以下几个方面的特点：</w:t>
      </w:r>
    </w:p>
    <w:p w14:paraId="3183A146">
      <w:pPr>
        <w:pStyle w:val="4"/>
        <w:rPr>
          <w:rFonts w:hint="eastAsia"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一是各主要贸易方式均衡发展。2024年，广西以一般贸易方式进出口3443.9亿元，增长16.9%，占广西外贸总值的45.5%，仍为最主要的贸易方式。二是民营企业活力充沛。2024年，广西民营企业共进出口5386.6亿元，增长23.4%，占广西外贸总值的比重较2023年提升了8.1个百分点至71.2%。三是市场多元化持续推进，占全国对东盟、对越南贸易比重提升。东盟是广西最重要的贸易伙伴，占据广西外贸的半壁江山。2024年，广西对东盟贸易进出口3978.2亿元，增长17.2%，东盟已连续25年保持广西第一大贸易伙伴，占全国对东盟贸易比重较2023年提升0.4个百分点至5.7%。四是特色优势产品出口亮眼。机电产品、劳密产品是广西前两大类出口商品，2024年分别出口2481.8亿元、880亿元，分别增长19.4%、26.8%，合计占广西出口比重超7成。五是大宗商品进口值创新高。2024年，广西进口大宗商品1787.8亿元，增长3%，进口值创历史新高，占广西进口总值的57%。六是崇左、防城港等12个设区市进出口增长。2024年，崇左、防城港、南宁为广西外贸前三大地市，合计占比超6成。</w:t>
      </w:r>
    </w:p>
    <w:p w14:paraId="66A1655F">
      <w:pPr>
        <w:pStyle w:val="4"/>
        <w:ind w:firstLine="960" w:firstLineChars="300"/>
        <w:rPr>
          <w:rFonts w:hint="eastAsia"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2.产业的发展趋势</w:t>
      </w:r>
    </w:p>
    <w:p w14:paraId="51EA7346">
      <w:pPr>
        <w:pStyle w:val="4"/>
        <w:ind w:left="0" w:leftChars="0" w:firstLine="640" w:firstLineChars="200"/>
        <w:rPr>
          <w:rFonts w:hint="default"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（1）</w:t>
      </w:r>
      <w:r>
        <w:rPr>
          <w:rFonts w:hint="default" w:ascii="仿宋" w:hAnsi="仿宋" w:eastAsia="仿宋" w:cs="楷体"/>
          <w:b w:val="0"/>
          <w:bCs w:val="0"/>
          <w:kern w:val="2"/>
          <w:sz w:val="32"/>
          <w:szCs w:val="32"/>
          <w:lang w:val="en-US" w:eastAsia="zh-CN" w:bidi="ar-SA"/>
        </w:rPr>
        <w:t>需求高端化与差异化</w:t>
      </w:r>
    </w:p>
    <w:p w14:paraId="3FC58943">
      <w:pPr>
        <w:pStyle w:val="4"/>
        <w:rPr>
          <w:rFonts w:hint="default" w:ascii="仿宋" w:hAnsi="仿宋" w:eastAsia="仿宋" w:cs="楷体"/>
          <w:b w:val="0"/>
          <w:bCs w:val="0"/>
          <w:kern w:val="2"/>
          <w:sz w:val="32"/>
          <w:szCs w:val="32"/>
          <w:lang w:val="en-US" w:eastAsia="zh-CN" w:bidi="ar-SA"/>
        </w:rPr>
      </w:pPr>
      <w:r>
        <w:rPr>
          <w:rFonts w:hint="default" w:ascii="仿宋" w:hAnsi="仿宋" w:eastAsia="仿宋" w:cs="楷体"/>
          <w:b w:val="0"/>
          <w:bCs w:val="0"/>
          <w:kern w:val="2"/>
          <w:sz w:val="32"/>
          <w:szCs w:val="32"/>
          <w:lang w:val="en-US" w:eastAsia="zh-CN" w:bidi="ar-SA"/>
        </w:rPr>
        <w:t>全球制造业向高端化、智能化转型，推动高精度机床、工业软件等生产性服务贸易需求大增；消费升级催生定制化、体验化需求，跨境电商平台通过VR选品、直播带货等新模式满足消费者个性化需求。高端需求将持续增加，比如航空航天领域，中国企业参与国际空间站合作项目，推动航天材料、零部件出口；生物医药领域，创新药、高端医疗器械加速出海。</w:t>
      </w:r>
    </w:p>
    <w:p w14:paraId="7E9B256E">
      <w:pPr>
        <w:pStyle w:val="4"/>
        <w:ind w:left="0" w:leftChars="0" w:firstLine="640" w:firstLineChars="200"/>
        <w:rPr>
          <w:rFonts w:hint="default"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（2）</w:t>
      </w:r>
      <w:r>
        <w:rPr>
          <w:rFonts w:hint="default" w:ascii="仿宋" w:hAnsi="仿宋" w:eastAsia="仿宋" w:cs="楷体"/>
          <w:b w:val="0"/>
          <w:bCs w:val="0"/>
          <w:kern w:val="2"/>
          <w:sz w:val="32"/>
          <w:szCs w:val="32"/>
          <w:lang w:val="en-US" w:eastAsia="zh-CN" w:bidi="ar-SA"/>
        </w:rPr>
        <w:t>技术融合化与智能化</w:t>
      </w:r>
    </w:p>
    <w:p w14:paraId="567D7F90">
      <w:pPr>
        <w:pStyle w:val="4"/>
        <w:ind w:left="0" w:leftChars="0" w:firstLine="640" w:firstLineChars="200"/>
        <w:rPr>
          <w:rFonts w:hint="default" w:ascii="仿宋" w:hAnsi="仿宋" w:eastAsia="仿宋" w:cs="楷体"/>
          <w:b w:val="0"/>
          <w:bCs w:val="0"/>
          <w:kern w:val="2"/>
          <w:sz w:val="32"/>
          <w:szCs w:val="32"/>
          <w:lang w:val="en-US" w:eastAsia="zh-CN" w:bidi="ar-SA"/>
        </w:rPr>
      </w:pPr>
      <w:r>
        <w:rPr>
          <w:rFonts w:hint="default" w:ascii="仿宋" w:hAnsi="仿宋" w:eastAsia="仿宋" w:cs="楷体"/>
          <w:b w:val="0"/>
          <w:bCs w:val="0"/>
          <w:kern w:val="2"/>
          <w:sz w:val="32"/>
          <w:szCs w:val="32"/>
          <w:lang w:val="en-US" w:eastAsia="zh-CN" w:bidi="ar-SA"/>
        </w:rPr>
        <w:t>技术突破创造新需求，AI大模型在贸易领域的应用催生智能客服、智能选品等新业态；数字孪生技术优化供应链布局，降低企业运营成本。AI与区块链深度融合，推动供应链金融创新，降低中小企业融资成本；数字孪生与元宇宙技术结合，实现虚拟工厂与实体工厂的实时交互，提升生产效率。量子计算突破将加速贸易数据分析，AI驱动的智能合约自动执行将降低贸易纠纷风险。国际贸易行业正摆脱“低价竞争”的恶性循环，转向“技术溢价-品牌赋能-生态协同”的高质量发展路径。</w:t>
      </w:r>
    </w:p>
    <w:p w14:paraId="754BC83B">
      <w:pPr>
        <w:pStyle w:val="4"/>
        <w:rPr>
          <w:rFonts w:hint="default"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（3）</w:t>
      </w:r>
      <w:r>
        <w:rPr>
          <w:rFonts w:hint="default" w:ascii="仿宋" w:hAnsi="仿宋" w:eastAsia="仿宋" w:cs="楷体"/>
          <w:b w:val="0"/>
          <w:bCs w:val="0"/>
          <w:kern w:val="2"/>
          <w:sz w:val="32"/>
          <w:szCs w:val="32"/>
          <w:lang w:val="en-US" w:eastAsia="zh-CN" w:bidi="ar-SA"/>
        </w:rPr>
        <w:t>产业生态化与规则重构</w:t>
      </w:r>
    </w:p>
    <w:p w14:paraId="48D57078">
      <w:pPr>
        <w:pStyle w:val="4"/>
        <w:rPr>
          <w:rFonts w:hint="default" w:ascii="仿宋" w:hAnsi="仿宋" w:eastAsia="仿宋" w:cs="楷体"/>
          <w:b w:val="0"/>
          <w:bCs w:val="0"/>
          <w:kern w:val="2"/>
          <w:sz w:val="32"/>
          <w:szCs w:val="32"/>
          <w:lang w:val="en-US" w:eastAsia="zh-CN" w:bidi="ar-SA"/>
        </w:rPr>
      </w:pPr>
      <w:r>
        <w:rPr>
          <w:rFonts w:hint="default" w:ascii="仿宋" w:hAnsi="仿宋" w:eastAsia="仿宋" w:cs="楷体"/>
          <w:b w:val="0"/>
          <w:bCs w:val="0"/>
          <w:kern w:val="2"/>
          <w:sz w:val="32"/>
          <w:szCs w:val="32"/>
          <w:lang w:val="en-US" w:eastAsia="zh-CN" w:bidi="ar-SA"/>
        </w:rPr>
        <w:t>跨国企业通过“链主”地位整合全球资源，苹果公司通过供应链管理掌控全球消费电子产业；国家间通过区域协定争夺产业链主导权，美国推动“友岸外包”，欧盟构建“芯片法案”产业联盟。中国通过“一带一路”倡议、RCEP等平台，推动产业链、供应链、创新链深度融合，构建开放型世界经济。标准输出成为新竞争焦点，中国主导制定的跨境电商、绿色贸易等领域国际标准数量增长，提升了国家在全球贸易规则制定中的话语权。</w:t>
      </w:r>
    </w:p>
    <w:p w14:paraId="400A15AF">
      <w:pPr>
        <w:pStyle w:val="4"/>
        <w:ind w:left="0" w:leftChars="0" w:firstLine="640" w:firstLineChars="200"/>
        <w:rPr>
          <w:rFonts w:hint="default"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（4）</w:t>
      </w:r>
      <w:r>
        <w:rPr>
          <w:rFonts w:hint="default" w:ascii="仿宋" w:hAnsi="仿宋" w:eastAsia="仿宋" w:cs="楷体"/>
          <w:b w:val="0"/>
          <w:bCs w:val="0"/>
          <w:kern w:val="2"/>
          <w:sz w:val="32"/>
          <w:szCs w:val="32"/>
          <w:lang w:val="en-US" w:eastAsia="zh-CN" w:bidi="ar-SA"/>
        </w:rPr>
        <w:t>可持续发展与绿色贸易</w:t>
      </w:r>
    </w:p>
    <w:p w14:paraId="021B33FA">
      <w:pPr>
        <w:pStyle w:val="4"/>
        <w:rPr>
          <w:rFonts w:hint="default" w:ascii="仿宋" w:hAnsi="仿宋" w:eastAsia="仿宋" w:cs="楷体"/>
          <w:b w:val="0"/>
          <w:bCs w:val="0"/>
          <w:kern w:val="2"/>
          <w:sz w:val="32"/>
          <w:szCs w:val="32"/>
          <w:lang w:val="en-US" w:eastAsia="zh-CN" w:bidi="ar-SA"/>
        </w:rPr>
      </w:pPr>
      <w:r>
        <w:rPr>
          <w:rFonts w:hint="default" w:ascii="仿宋" w:hAnsi="仿宋" w:eastAsia="仿宋" w:cs="楷体"/>
          <w:b w:val="0"/>
          <w:bCs w:val="0"/>
          <w:kern w:val="2"/>
          <w:sz w:val="32"/>
          <w:szCs w:val="32"/>
          <w:lang w:val="en-US" w:eastAsia="zh-CN" w:bidi="ar-SA"/>
        </w:rPr>
        <w:t>面对日益紧迫的全球环境问题，国际经济与贸易专业人才需要关注可持续发展的理念，未来的国际经济与贸易工作将更加注重环境保护和社会责任。“双碳”目标推动绿色贸易发展，国际碳关税（如欧盟CBAM）、ESG（环境、社会、公司治理）披露标准落地，催生绿色供应链管理、碳交易咨询等岗位。</w:t>
      </w:r>
    </w:p>
    <w:p w14:paraId="36AD5A5B">
      <w:pPr>
        <w:pStyle w:val="4"/>
        <w:ind w:left="0" w:leftChars="0" w:firstLine="640" w:firstLineChars="200"/>
        <w:rPr>
          <w:rFonts w:hint="default" w:ascii="仿宋" w:hAnsi="仿宋" w:eastAsia="仿宋" w:cs="楷体"/>
          <w:b w:val="0"/>
          <w:bCs w:val="0"/>
          <w:kern w:val="2"/>
          <w:sz w:val="32"/>
          <w:szCs w:val="32"/>
          <w:lang w:val="en-US" w:eastAsia="zh-CN" w:bidi="ar-SA"/>
        </w:rPr>
      </w:pPr>
      <w:r>
        <w:rPr>
          <w:rFonts w:hint="eastAsia" w:ascii="仿宋" w:hAnsi="仿宋" w:eastAsia="仿宋" w:cs="楷体"/>
          <w:b w:val="0"/>
          <w:bCs w:val="0"/>
          <w:kern w:val="2"/>
          <w:sz w:val="32"/>
          <w:szCs w:val="32"/>
          <w:lang w:val="en-US" w:eastAsia="zh-CN" w:bidi="ar-SA"/>
        </w:rPr>
        <w:t>（5）</w:t>
      </w:r>
      <w:r>
        <w:rPr>
          <w:rFonts w:hint="default" w:ascii="仿宋" w:hAnsi="仿宋" w:eastAsia="仿宋" w:cs="楷体"/>
          <w:b w:val="0"/>
          <w:bCs w:val="0"/>
          <w:kern w:val="2"/>
          <w:sz w:val="32"/>
          <w:szCs w:val="32"/>
          <w:lang w:val="en-US" w:eastAsia="zh-CN" w:bidi="ar-SA"/>
        </w:rPr>
        <w:t>人才国际化与复合化</w:t>
      </w:r>
    </w:p>
    <w:p w14:paraId="2707DA91">
      <w:pPr>
        <w:pStyle w:val="4"/>
        <w:rPr>
          <w:rFonts w:hint="default" w:ascii="仿宋" w:hAnsi="仿宋" w:eastAsia="仿宋" w:cs="楷体"/>
          <w:b w:val="0"/>
          <w:bCs w:val="0"/>
          <w:kern w:val="2"/>
          <w:sz w:val="32"/>
          <w:szCs w:val="32"/>
          <w:lang w:val="en-US" w:eastAsia="zh-CN" w:bidi="ar-SA"/>
        </w:rPr>
      </w:pPr>
      <w:r>
        <w:rPr>
          <w:rFonts w:hint="default" w:ascii="仿宋" w:hAnsi="仿宋" w:eastAsia="仿宋" w:cs="楷体"/>
          <w:b w:val="0"/>
          <w:bCs w:val="0"/>
          <w:kern w:val="2"/>
          <w:sz w:val="32"/>
          <w:szCs w:val="32"/>
          <w:lang w:val="en-US" w:eastAsia="zh-CN" w:bidi="ar-SA"/>
        </w:rPr>
        <w:t>国际经济与贸易专业人才需要具备全球化背景和多语言沟通能力，国际化的视野和跨文化交流能力将成为未来就业市场的竞争优势。除英语外，掌握小语种（如</w:t>
      </w:r>
      <w:r>
        <w:rPr>
          <w:rFonts w:hint="eastAsia" w:ascii="仿宋" w:hAnsi="仿宋" w:eastAsia="仿宋" w:cs="楷体"/>
          <w:b w:val="0"/>
          <w:bCs w:val="0"/>
          <w:kern w:val="2"/>
          <w:sz w:val="32"/>
          <w:szCs w:val="32"/>
          <w:lang w:val="en-US" w:eastAsia="zh-CN" w:bidi="ar-SA"/>
        </w:rPr>
        <w:t>泰语</w:t>
      </w:r>
      <w:r>
        <w:rPr>
          <w:rFonts w:hint="default" w:ascii="仿宋" w:hAnsi="仿宋" w:eastAsia="仿宋" w:cs="楷体"/>
          <w:b w:val="0"/>
          <w:bCs w:val="0"/>
          <w:kern w:val="2"/>
          <w:sz w:val="32"/>
          <w:szCs w:val="32"/>
          <w:lang w:val="en-US" w:eastAsia="zh-CN" w:bidi="ar-SA"/>
        </w:rPr>
        <w:t>、</w:t>
      </w:r>
      <w:r>
        <w:rPr>
          <w:rFonts w:hint="eastAsia" w:ascii="仿宋" w:hAnsi="仿宋" w:eastAsia="仿宋" w:cs="楷体"/>
          <w:b w:val="0"/>
          <w:bCs w:val="0"/>
          <w:kern w:val="2"/>
          <w:sz w:val="32"/>
          <w:szCs w:val="32"/>
          <w:lang w:val="en-US" w:eastAsia="zh-CN" w:bidi="ar-SA"/>
        </w:rPr>
        <w:t>越南语</w:t>
      </w:r>
      <w:r>
        <w:rPr>
          <w:rFonts w:hint="default" w:ascii="仿宋" w:hAnsi="仿宋" w:eastAsia="仿宋" w:cs="楷体"/>
          <w:b w:val="0"/>
          <w:bCs w:val="0"/>
          <w:kern w:val="2"/>
          <w:sz w:val="32"/>
          <w:szCs w:val="32"/>
          <w:lang w:val="en-US" w:eastAsia="zh-CN" w:bidi="ar-SA"/>
        </w:rPr>
        <w:t>），在开拓</w:t>
      </w:r>
      <w:r>
        <w:rPr>
          <w:rFonts w:hint="eastAsia" w:ascii="仿宋" w:hAnsi="仿宋" w:eastAsia="仿宋" w:cs="楷体"/>
          <w:b w:val="0"/>
          <w:bCs w:val="0"/>
          <w:kern w:val="2"/>
          <w:sz w:val="32"/>
          <w:szCs w:val="32"/>
          <w:lang w:val="en-US" w:eastAsia="zh-CN" w:bidi="ar-SA"/>
        </w:rPr>
        <w:t>东盟</w:t>
      </w:r>
      <w:r>
        <w:rPr>
          <w:rFonts w:hint="default" w:ascii="仿宋" w:hAnsi="仿宋" w:eastAsia="仿宋" w:cs="楷体"/>
          <w:b w:val="0"/>
          <w:bCs w:val="0"/>
          <w:kern w:val="2"/>
          <w:sz w:val="32"/>
          <w:szCs w:val="32"/>
          <w:lang w:val="en-US" w:eastAsia="zh-CN" w:bidi="ar-SA"/>
        </w:rPr>
        <w:t>市场时更具优势</w:t>
      </w:r>
      <w:r>
        <w:rPr>
          <w:rFonts w:hint="eastAsia" w:ascii="仿宋" w:hAnsi="仿宋" w:eastAsia="仿宋" w:cs="楷体"/>
          <w:b w:val="0"/>
          <w:bCs w:val="0"/>
          <w:kern w:val="2"/>
          <w:sz w:val="32"/>
          <w:szCs w:val="32"/>
          <w:lang w:val="en-US" w:eastAsia="zh-CN" w:bidi="ar-SA"/>
        </w:rPr>
        <w:t>。</w:t>
      </w:r>
      <w:r>
        <w:rPr>
          <w:rFonts w:hint="default" w:ascii="仿宋" w:hAnsi="仿宋" w:eastAsia="仿宋" w:cs="楷体"/>
          <w:b w:val="0"/>
          <w:bCs w:val="0"/>
          <w:kern w:val="2"/>
          <w:sz w:val="32"/>
          <w:szCs w:val="32"/>
          <w:lang w:val="en-US" w:eastAsia="zh-CN" w:bidi="ar-SA"/>
        </w:rPr>
        <w:t>行业对人才的技能要求不断提高，除了专业技能外，还需要具备良好的沟通能力、谈判能力、数据分析能力等。技能供需错配问题凸显，传统课程偏重理论，但企业更关注实战能力，高校需要加强实践教学，培养学生的实际操作能力。</w:t>
      </w:r>
    </w:p>
    <w:p w14:paraId="4EDEE645">
      <w:pPr>
        <w:spacing w:line="288" w:lineRule="auto"/>
        <w:ind w:firstLine="643" w:firstLineChars="200"/>
        <w:rPr>
          <w:rFonts w:hint="eastAsia" w:ascii="仿宋" w:hAnsi="仿宋" w:eastAsia="仿宋" w:cs="楷体"/>
          <w:b/>
          <w:bCs/>
          <w:szCs w:val="32"/>
          <w:highlight w:val="yellow"/>
          <w:lang w:eastAsia="zh-CN"/>
        </w:rPr>
      </w:pPr>
      <w:r>
        <w:rPr>
          <w:rFonts w:hint="eastAsia" w:ascii="仿宋" w:hAnsi="仿宋" w:eastAsia="仿宋" w:cs="楷体"/>
          <w:b/>
          <w:bCs/>
          <w:szCs w:val="32"/>
          <w:lang w:eastAsia="zh-CN"/>
        </w:rPr>
        <w:t>（二）</w:t>
      </w:r>
      <w:r>
        <w:rPr>
          <w:rFonts w:hint="eastAsia" w:ascii="仿宋" w:hAnsi="仿宋" w:eastAsia="仿宋" w:cs="楷体"/>
          <w:b/>
          <w:bCs/>
          <w:szCs w:val="32"/>
        </w:rPr>
        <w:t>行业企业需求</w:t>
      </w:r>
    </w:p>
    <w:p w14:paraId="01CC9065">
      <w:pPr>
        <w:snapToGrid/>
        <w:spacing w:before="0" w:after="0" w:line="288" w:lineRule="auto"/>
        <w:ind w:left="0" w:right="0" w:firstLine="960" w:firstLineChars="300"/>
        <w:jc w:val="both"/>
      </w:pPr>
      <w:r>
        <w:rPr>
          <w:rFonts w:ascii="仿宋" w:hAnsi="仿宋" w:eastAsia="仿宋" w:cs="仿宋"/>
          <w:i w:val="0"/>
          <w:strike w:val="0"/>
          <w:color w:val="000000"/>
          <w:sz w:val="32"/>
          <w:u w:val="none"/>
        </w:rPr>
        <w:t>1.代表性合作单位对技能人才需求情况</w:t>
      </w:r>
    </w:p>
    <w:p w14:paraId="4891AED3">
      <w:pPr>
        <w:snapToGrid/>
        <w:spacing w:before="0" w:after="0" w:line="288" w:lineRule="auto"/>
        <w:ind w:right="0" w:firstLine="640" w:firstLineChars="200"/>
        <w:jc w:val="both"/>
        <w:rPr>
          <w:rFonts w:ascii="仿宋" w:hAnsi="仿宋" w:eastAsia="仿宋" w:cs="仿宋"/>
          <w:i w:val="0"/>
          <w:strike w:val="0"/>
          <w:color w:val="000000"/>
          <w:sz w:val="32"/>
          <w:u w:val="none"/>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1</w:t>
      </w:r>
      <w:r>
        <w:rPr>
          <w:rFonts w:hint="eastAsia" w:ascii="仿宋" w:hAnsi="仿宋" w:eastAsia="仿宋" w:cs="仿宋"/>
          <w:i w:val="0"/>
          <w:strike w:val="0"/>
          <w:color w:val="000000"/>
          <w:sz w:val="32"/>
          <w:u w:val="none"/>
          <w:lang w:eastAsia="zh-CN"/>
        </w:rPr>
        <w:t>）</w:t>
      </w:r>
      <w:r>
        <w:rPr>
          <w:rFonts w:ascii="仿宋" w:hAnsi="仿宋" w:eastAsia="仿宋" w:cs="仿宋"/>
          <w:i w:val="0"/>
          <w:strike w:val="0"/>
          <w:color w:val="000000"/>
          <w:sz w:val="32"/>
          <w:u w:val="none"/>
        </w:rPr>
        <w:t>外贸业务员是最受欢迎的招聘岗位</w:t>
      </w:r>
    </w:p>
    <w:p w14:paraId="1F19C46A">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val="en-US" w:eastAsia="zh-CN"/>
        </w:rPr>
        <w:t>由</w:t>
      </w:r>
      <w:r>
        <w:rPr>
          <w:rFonts w:hint="eastAsia" w:ascii="仿宋" w:hAnsi="仿宋" w:eastAsia="仿宋" w:cs="仿宋"/>
          <w:i w:val="0"/>
          <w:strike w:val="0"/>
          <w:color w:val="000000"/>
          <w:sz w:val="32"/>
          <w:u w:val="none"/>
        </w:rPr>
        <w:t xml:space="preserve">图5-2-1 </w:t>
      </w:r>
      <w:r>
        <w:rPr>
          <w:rFonts w:hint="eastAsia" w:ascii="仿宋" w:hAnsi="仿宋" w:eastAsia="仿宋" w:cs="仿宋"/>
          <w:i w:val="0"/>
          <w:strike w:val="0"/>
          <w:color w:val="000000"/>
          <w:sz w:val="32"/>
          <w:u w:val="none"/>
          <w:lang w:val="en-US" w:eastAsia="zh-CN"/>
        </w:rPr>
        <w:t>所示，</w:t>
      </w:r>
      <w:r>
        <w:rPr>
          <w:rFonts w:ascii="仿宋" w:hAnsi="仿宋" w:eastAsia="仿宋" w:cs="仿宋"/>
          <w:i w:val="0"/>
          <w:strike w:val="0"/>
          <w:color w:val="000000"/>
          <w:sz w:val="32"/>
          <w:u w:val="none"/>
        </w:rPr>
        <w:t>在未来1-2年内，47.62%的企业计划招聘外贸业务员，显示出对该岗位的强烈需求。这可能与国际贸易的增长和企业对外市场拓展的重视有关。</w:t>
      </w:r>
    </w:p>
    <w:p w14:paraId="14019CEB">
      <w:pPr>
        <w:jc w:val="center"/>
        <w:rPr>
          <w:b w:val="0"/>
          <w:color w:val="000000"/>
          <w:sz w:val="20"/>
        </w:rPr>
      </w:pPr>
      <w:r>
        <w:drawing>
          <wp:inline distT="0" distB="0" distL="114300" distR="114300">
            <wp:extent cx="4170045" cy="2363470"/>
            <wp:effectExtent l="0" t="0" r="825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170045" cy="2363470"/>
                    </a:xfrm>
                    <a:prstGeom prst="rect">
                      <a:avLst/>
                    </a:prstGeom>
                    <a:noFill/>
                    <a:ln>
                      <a:noFill/>
                    </a:ln>
                  </pic:spPr>
                </pic:pic>
              </a:graphicData>
            </a:graphic>
          </wp:inline>
        </w:drawing>
      </w:r>
    </w:p>
    <w:p w14:paraId="0734E8EB">
      <w:pPr>
        <w:snapToGrid/>
        <w:spacing w:before="0" w:after="0" w:line="288" w:lineRule="auto"/>
        <w:ind w:right="0" w:firstLine="482" w:firstLineChars="200"/>
        <w:jc w:val="center"/>
        <w:rPr>
          <w:rFonts w:hint="default" w:ascii="仿宋" w:hAnsi="仿宋" w:eastAsia="仿宋" w:cs="仿宋"/>
          <w:b/>
          <w:bCs/>
          <w:i w:val="0"/>
          <w:strike w:val="0"/>
          <w:color w:val="000000"/>
          <w:sz w:val="24"/>
          <w:szCs w:val="24"/>
          <w:u w:val="none"/>
          <w:lang w:val="en-US" w:eastAsia="zh-CN"/>
        </w:rPr>
      </w:pPr>
      <w:r>
        <w:rPr>
          <w:rFonts w:hint="eastAsia" w:ascii="仿宋" w:hAnsi="仿宋" w:eastAsia="仿宋" w:cs="仿宋"/>
          <w:b/>
          <w:bCs/>
          <w:i w:val="0"/>
          <w:strike w:val="0"/>
          <w:color w:val="000000"/>
          <w:sz w:val="24"/>
          <w:szCs w:val="24"/>
          <w:u w:val="none"/>
          <w:lang w:val="en-US" w:eastAsia="zh-CN"/>
        </w:rPr>
        <w:t>图5-2-1 招聘岗位情况</w:t>
      </w:r>
    </w:p>
    <w:p w14:paraId="01295124">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2</w:t>
      </w:r>
      <w:r>
        <w:rPr>
          <w:rFonts w:hint="eastAsia" w:ascii="仿宋" w:hAnsi="仿宋" w:eastAsia="仿宋" w:cs="仿宋"/>
          <w:i w:val="0"/>
          <w:strike w:val="0"/>
          <w:color w:val="000000"/>
          <w:sz w:val="32"/>
          <w:u w:val="none"/>
          <w:lang w:eastAsia="zh-CN"/>
        </w:rPr>
        <w:t>）大专及以上和本科及以上的学历要求占比相同</w:t>
      </w:r>
    </w:p>
    <w:p w14:paraId="08C08BAF">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val="en-US" w:eastAsia="zh-CN"/>
        </w:rPr>
        <w:t>由</w:t>
      </w:r>
      <w:r>
        <w:rPr>
          <w:rFonts w:hint="eastAsia" w:ascii="仿宋" w:hAnsi="仿宋" w:eastAsia="仿宋" w:cs="仿宋"/>
          <w:i w:val="0"/>
          <w:strike w:val="0"/>
          <w:color w:val="000000"/>
          <w:sz w:val="32"/>
          <w:u w:val="none"/>
          <w:lang w:eastAsia="zh-CN"/>
        </w:rPr>
        <w:t>图5-2-2调查结果显示，47.62%的企业对国际贸易相关岗位要求大专及以上学历，另有47.62%的企业要求本科及以上学历。这表明企业在学历要求上并没有明显的倾向，可能是为了吸引更多的求职者。</w:t>
      </w:r>
    </w:p>
    <w:p w14:paraId="022F111F">
      <w:pPr>
        <w:jc w:val="center"/>
        <w:rPr>
          <w:rFonts w:hint="eastAsia" w:ascii="仿宋" w:hAnsi="仿宋" w:eastAsia="仿宋" w:cs="仿宋"/>
          <w:i w:val="0"/>
          <w:strike w:val="0"/>
          <w:color w:val="000000"/>
          <w:sz w:val="32"/>
          <w:u w:val="none"/>
          <w:lang w:eastAsia="zh-CN"/>
        </w:rPr>
      </w:pPr>
      <w:r>
        <w:drawing>
          <wp:inline distT="0" distB="0" distL="114300" distR="114300">
            <wp:extent cx="3598545" cy="2038985"/>
            <wp:effectExtent l="0" t="0" r="825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3598545" cy="2038985"/>
                    </a:xfrm>
                    <a:prstGeom prst="rect">
                      <a:avLst/>
                    </a:prstGeom>
                    <a:noFill/>
                    <a:ln>
                      <a:noFill/>
                    </a:ln>
                  </pic:spPr>
                </pic:pic>
              </a:graphicData>
            </a:graphic>
          </wp:inline>
        </w:drawing>
      </w:r>
    </w:p>
    <w:p w14:paraId="2BF0C89E">
      <w:pPr>
        <w:snapToGrid/>
        <w:spacing w:before="0" w:after="0" w:line="288" w:lineRule="auto"/>
        <w:ind w:left="0" w:right="0" w:firstLine="723" w:firstLineChars="300"/>
        <w:jc w:val="center"/>
        <w:rPr>
          <w:rFonts w:hint="default" w:ascii="仿宋" w:hAnsi="仿宋" w:eastAsia="仿宋" w:cs="仿宋"/>
          <w:i w:val="0"/>
          <w:strike w:val="0"/>
          <w:color w:val="000000"/>
          <w:sz w:val="32"/>
          <w:u w:val="none"/>
          <w:lang w:val="en-US"/>
        </w:rPr>
      </w:pPr>
      <w:r>
        <w:rPr>
          <w:rFonts w:hint="eastAsia" w:ascii="仿宋" w:hAnsi="仿宋" w:eastAsia="仿宋" w:cs="仿宋"/>
          <w:b/>
          <w:bCs/>
          <w:i w:val="0"/>
          <w:strike w:val="0"/>
          <w:color w:val="000000"/>
          <w:sz w:val="24"/>
          <w:szCs w:val="24"/>
          <w:u w:val="none"/>
          <w:lang w:val="en-US" w:eastAsia="zh-CN"/>
        </w:rPr>
        <w:t>图5-2-2 岗位的学历要求</w:t>
      </w:r>
    </w:p>
    <w:p w14:paraId="22CD1B35">
      <w:pPr>
        <w:snapToGrid/>
        <w:spacing w:before="0" w:after="0" w:line="288" w:lineRule="auto"/>
        <w:ind w:left="0" w:right="0" w:firstLine="960" w:firstLineChars="300"/>
        <w:jc w:val="both"/>
      </w:pPr>
      <w:r>
        <w:rPr>
          <w:rFonts w:ascii="仿宋" w:hAnsi="仿宋" w:eastAsia="仿宋" w:cs="仿宋"/>
          <w:i w:val="0"/>
          <w:strike w:val="0"/>
          <w:color w:val="000000"/>
          <w:sz w:val="32"/>
          <w:u w:val="none"/>
        </w:rPr>
        <w:t>2.代表性合作单位对培训和技术服务需求情况</w:t>
      </w:r>
    </w:p>
    <w:p w14:paraId="3671DB02">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1</w:t>
      </w:r>
      <w:r>
        <w:rPr>
          <w:rFonts w:hint="eastAsia" w:ascii="仿宋" w:hAnsi="仿宋" w:eastAsia="仿宋" w:cs="仿宋"/>
          <w:i w:val="0"/>
          <w:strike w:val="0"/>
          <w:color w:val="000000"/>
          <w:sz w:val="32"/>
          <w:u w:val="none"/>
          <w:lang w:eastAsia="zh-CN"/>
        </w:rPr>
        <w:t>）外语能力是招聘首选</w:t>
      </w:r>
    </w:p>
    <w:p w14:paraId="32C658BB">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val="en-US" w:eastAsia="zh-CN"/>
        </w:rPr>
        <w:t>由</w:t>
      </w:r>
      <w:r>
        <w:rPr>
          <w:rFonts w:hint="eastAsia" w:ascii="仿宋" w:hAnsi="仿宋" w:eastAsia="仿宋" w:cs="仿宋"/>
          <w:i w:val="0"/>
          <w:strike w:val="0"/>
          <w:color w:val="000000"/>
          <w:sz w:val="32"/>
          <w:u w:val="none"/>
          <w:lang w:eastAsia="zh-CN"/>
        </w:rPr>
        <w:t>图5-2-3调查显示，90.48%的企业更倾向于招聘具备外语能力的人才，说明外语能力在当前市场中被视为重要的竞争力。</w:t>
      </w:r>
    </w:p>
    <w:p w14:paraId="4A6D5FCB">
      <w:pPr>
        <w:snapToGrid/>
        <w:spacing w:before="0" w:after="0" w:line="288" w:lineRule="auto"/>
        <w:ind w:left="0" w:right="0" w:firstLine="960" w:firstLineChars="300"/>
        <w:jc w:val="both"/>
        <w:rPr>
          <w:rFonts w:ascii="仿宋" w:hAnsi="仿宋" w:eastAsia="仿宋" w:cs="仿宋"/>
          <w:b/>
          <w:i w:val="0"/>
          <w:strike w:val="0"/>
          <w:color w:val="000000"/>
          <w:sz w:val="32"/>
          <w:u w:val="none"/>
        </w:rPr>
      </w:pPr>
      <w:r>
        <w:drawing>
          <wp:inline distT="0" distB="0" distL="114300" distR="114300">
            <wp:extent cx="4197985" cy="2379345"/>
            <wp:effectExtent l="0" t="0" r="571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4197985" cy="2379345"/>
                    </a:xfrm>
                    <a:prstGeom prst="rect">
                      <a:avLst/>
                    </a:prstGeom>
                    <a:noFill/>
                    <a:ln>
                      <a:noFill/>
                    </a:ln>
                  </pic:spPr>
                </pic:pic>
              </a:graphicData>
            </a:graphic>
          </wp:inline>
        </w:drawing>
      </w:r>
    </w:p>
    <w:p w14:paraId="7594963D">
      <w:pPr>
        <w:snapToGrid/>
        <w:spacing w:before="0" w:after="0" w:line="288" w:lineRule="auto"/>
        <w:ind w:right="0" w:firstLine="482" w:firstLineChars="200"/>
        <w:jc w:val="center"/>
        <w:rPr>
          <w:rFonts w:hint="eastAsia" w:ascii="仿宋" w:hAnsi="仿宋" w:eastAsia="仿宋" w:cs="仿宋"/>
          <w:i w:val="0"/>
          <w:strike w:val="0"/>
          <w:color w:val="000000"/>
          <w:sz w:val="32"/>
          <w:u w:val="none"/>
          <w:lang w:eastAsia="zh-CN"/>
        </w:rPr>
      </w:pPr>
      <w:r>
        <w:rPr>
          <w:rFonts w:hint="eastAsia" w:ascii="仿宋" w:hAnsi="仿宋" w:eastAsia="仿宋" w:cs="仿宋"/>
          <w:b/>
          <w:bCs/>
          <w:i w:val="0"/>
          <w:strike w:val="0"/>
          <w:color w:val="000000"/>
          <w:sz w:val="24"/>
          <w:szCs w:val="24"/>
          <w:u w:val="none"/>
          <w:lang w:val="en-US" w:eastAsia="zh-CN"/>
        </w:rPr>
        <w:t>图5-2-3 岗位的能力要求</w:t>
      </w:r>
    </w:p>
    <w:p w14:paraId="3E62F7F4">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2</w:t>
      </w:r>
      <w:r>
        <w:rPr>
          <w:rFonts w:hint="eastAsia" w:ascii="仿宋" w:hAnsi="仿宋" w:eastAsia="仿宋" w:cs="仿宋"/>
          <w:i w:val="0"/>
          <w:strike w:val="0"/>
          <w:color w:val="000000"/>
          <w:sz w:val="32"/>
          <w:u w:val="none"/>
          <w:lang w:eastAsia="zh-CN"/>
        </w:rPr>
        <w:t>）外语沟通是最重要的专业技能</w:t>
      </w:r>
    </w:p>
    <w:p w14:paraId="555F4D99">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val="en-US" w:eastAsia="zh-CN"/>
        </w:rPr>
        <w:t>在</w:t>
      </w:r>
      <w:r>
        <w:rPr>
          <w:rFonts w:hint="eastAsia" w:ascii="仿宋" w:hAnsi="仿宋" w:eastAsia="仿宋" w:cs="仿宋"/>
          <w:i w:val="0"/>
          <w:strike w:val="0"/>
          <w:color w:val="000000"/>
          <w:sz w:val="32"/>
          <w:u w:val="none"/>
          <w:lang w:eastAsia="zh-CN"/>
        </w:rPr>
        <w:t>图5-2-4所有选项中，61.9%的企业选择外语沟通为最重要的技能，显示出在国际化业务中，语言能力的重要性。</w:t>
      </w:r>
    </w:p>
    <w:p w14:paraId="10D469CC">
      <w:pPr>
        <w:jc w:val="center"/>
        <w:rPr>
          <w:b w:val="0"/>
          <w:color w:val="000000"/>
          <w:sz w:val="20"/>
        </w:rPr>
      </w:pPr>
      <w:r>
        <w:drawing>
          <wp:inline distT="0" distB="0" distL="114300" distR="114300">
            <wp:extent cx="4118610" cy="2334260"/>
            <wp:effectExtent l="0" t="0" r="8890" b="254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tretch>
                      <a:fillRect/>
                    </a:stretch>
                  </pic:blipFill>
                  <pic:spPr>
                    <a:xfrm>
                      <a:off x="0" y="0"/>
                      <a:ext cx="4118610" cy="2334260"/>
                    </a:xfrm>
                    <a:prstGeom prst="rect">
                      <a:avLst/>
                    </a:prstGeom>
                    <a:noFill/>
                    <a:ln>
                      <a:noFill/>
                    </a:ln>
                  </pic:spPr>
                </pic:pic>
              </a:graphicData>
            </a:graphic>
          </wp:inline>
        </w:drawing>
      </w:r>
    </w:p>
    <w:p w14:paraId="025FF906">
      <w:pPr>
        <w:snapToGrid/>
        <w:spacing w:before="0" w:after="0" w:line="288" w:lineRule="auto"/>
        <w:ind w:right="0" w:firstLine="482" w:firstLineChars="200"/>
        <w:jc w:val="center"/>
        <w:rPr>
          <w:rFonts w:hint="default" w:ascii="仿宋" w:hAnsi="仿宋" w:eastAsia="仿宋" w:cs="仿宋"/>
          <w:i w:val="0"/>
          <w:strike w:val="0"/>
          <w:color w:val="000000"/>
          <w:sz w:val="32"/>
          <w:u w:val="none"/>
          <w:lang w:val="en-US" w:eastAsia="zh-CN"/>
        </w:rPr>
      </w:pPr>
      <w:r>
        <w:rPr>
          <w:rFonts w:hint="eastAsia" w:ascii="仿宋" w:hAnsi="仿宋" w:eastAsia="仿宋" w:cs="仿宋"/>
          <w:b/>
          <w:bCs/>
          <w:i w:val="0"/>
          <w:strike w:val="0"/>
          <w:color w:val="000000"/>
          <w:sz w:val="24"/>
          <w:szCs w:val="24"/>
          <w:u w:val="none"/>
          <w:lang w:val="en-US" w:eastAsia="zh-CN"/>
        </w:rPr>
        <w:t>图5-2-4 岗位的专业技能</w:t>
      </w:r>
    </w:p>
    <w:p w14:paraId="2EF054CF">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3</w:t>
      </w:r>
      <w:r>
        <w:rPr>
          <w:rFonts w:hint="eastAsia" w:ascii="仿宋" w:hAnsi="仿宋" w:eastAsia="仿宋" w:cs="仿宋"/>
          <w:i w:val="0"/>
          <w:strike w:val="0"/>
          <w:color w:val="000000"/>
          <w:sz w:val="32"/>
          <w:u w:val="none"/>
          <w:lang w:eastAsia="zh-CN"/>
        </w:rPr>
        <w:t>）大学英语四/六级是主要要求</w:t>
      </w:r>
    </w:p>
    <w:p w14:paraId="1017E96A">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val="en-US" w:eastAsia="zh-CN"/>
        </w:rPr>
        <w:t>由图5-2-5 所示，</w:t>
      </w:r>
      <w:r>
        <w:rPr>
          <w:rFonts w:hint="eastAsia" w:ascii="仿宋" w:hAnsi="仿宋" w:eastAsia="仿宋" w:cs="仿宋"/>
          <w:i w:val="0"/>
          <w:strike w:val="0"/>
          <w:color w:val="000000"/>
          <w:sz w:val="32"/>
          <w:u w:val="none"/>
          <w:lang w:eastAsia="zh-CN"/>
        </w:rPr>
        <w:t>在所有受访者中，66.67%的人表示对大学英语四/六级有要求，显示出这一证书在语言能力要求中的重要性。</w:t>
      </w:r>
    </w:p>
    <w:p w14:paraId="3A9A9E23">
      <w:pPr>
        <w:jc w:val="center"/>
        <w:rPr>
          <w:b w:val="0"/>
          <w:color w:val="000000"/>
          <w:sz w:val="20"/>
        </w:rPr>
      </w:pPr>
      <w:r>
        <w:drawing>
          <wp:inline distT="0" distB="0" distL="114300" distR="114300">
            <wp:extent cx="4140200" cy="23463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4140200" cy="2346325"/>
                    </a:xfrm>
                    <a:prstGeom prst="rect">
                      <a:avLst/>
                    </a:prstGeom>
                    <a:noFill/>
                    <a:ln>
                      <a:noFill/>
                    </a:ln>
                  </pic:spPr>
                </pic:pic>
              </a:graphicData>
            </a:graphic>
          </wp:inline>
        </w:drawing>
      </w:r>
    </w:p>
    <w:p w14:paraId="094BF68F">
      <w:pPr>
        <w:snapToGrid/>
        <w:spacing w:before="0" w:after="0" w:line="288" w:lineRule="auto"/>
        <w:ind w:right="0" w:firstLine="482" w:firstLineChars="200"/>
        <w:jc w:val="center"/>
        <w:rPr>
          <w:rFonts w:hint="default" w:ascii="仿宋" w:hAnsi="仿宋" w:eastAsia="仿宋" w:cs="仿宋"/>
          <w:i w:val="0"/>
          <w:strike w:val="0"/>
          <w:color w:val="000000"/>
          <w:sz w:val="32"/>
          <w:u w:val="none"/>
          <w:lang w:val="en-US" w:eastAsia="zh-CN"/>
        </w:rPr>
      </w:pPr>
      <w:r>
        <w:rPr>
          <w:rFonts w:hint="eastAsia" w:ascii="仿宋" w:hAnsi="仿宋" w:eastAsia="仿宋" w:cs="仿宋"/>
          <w:b/>
          <w:bCs/>
          <w:i w:val="0"/>
          <w:strike w:val="0"/>
          <w:color w:val="000000"/>
          <w:sz w:val="24"/>
          <w:szCs w:val="24"/>
          <w:u w:val="none"/>
          <w:lang w:val="en-US" w:eastAsia="zh-CN"/>
        </w:rPr>
        <w:t>图5-2-5 岗位的技能证书</w:t>
      </w:r>
    </w:p>
    <w:p w14:paraId="2D12B906">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4</w:t>
      </w:r>
      <w:r>
        <w:rPr>
          <w:rFonts w:hint="eastAsia" w:ascii="仿宋" w:hAnsi="仿宋" w:eastAsia="仿宋" w:cs="仿宋"/>
          <w:i w:val="0"/>
          <w:strike w:val="0"/>
          <w:color w:val="000000"/>
          <w:sz w:val="32"/>
          <w:u w:val="none"/>
          <w:lang w:eastAsia="zh-CN"/>
        </w:rPr>
        <w:t>）办公软件的熟练程度要求最高</w:t>
      </w:r>
    </w:p>
    <w:p w14:paraId="2766C6E3">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val="en-US" w:eastAsia="zh-CN"/>
        </w:rPr>
        <w:t>由</w:t>
      </w:r>
      <w:r>
        <w:rPr>
          <w:rFonts w:hint="eastAsia" w:ascii="仿宋" w:hAnsi="仿宋" w:eastAsia="仿宋" w:cs="仿宋"/>
          <w:i w:val="0"/>
          <w:strike w:val="0"/>
          <w:color w:val="000000"/>
          <w:sz w:val="32"/>
          <w:u w:val="none"/>
          <w:lang w:eastAsia="zh-CN"/>
        </w:rPr>
        <w:t>图5-2-6</w:t>
      </w:r>
      <w:r>
        <w:rPr>
          <w:rFonts w:hint="eastAsia" w:ascii="仿宋" w:hAnsi="仿宋" w:eastAsia="仿宋" w:cs="仿宋"/>
          <w:i w:val="0"/>
          <w:strike w:val="0"/>
          <w:color w:val="000000"/>
          <w:sz w:val="32"/>
          <w:u w:val="none"/>
          <w:lang w:val="en-US" w:eastAsia="zh-CN"/>
        </w:rPr>
        <w:t>所示，</w:t>
      </w:r>
      <w:r>
        <w:rPr>
          <w:rFonts w:hint="eastAsia" w:ascii="仿宋" w:hAnsi="仿宋" w:eastAsia="仿宋" w:cs="仿宋"/>
          <w:i w:val="0"/>
          <w:strike w:val="0"/>
          <w:color w:val="000000"/>
          <w:sz w:val="32"/>
          <w:u w:val="none"/>
          <w:lang w:eastAsia="zh-CN"/>
        </w:rPr>
        <w:t>在所有选项中，66.67%的受访者表示对办公软件（如Excel数据分析、宏、VBA、专业PPT制作等）的熟练程度要求最高，显示出办公软件在工作中的重要性。</w:t>
      </w:r>
    </w:p>
    <w:p w14:paraId="2DF61E92">
      <w:pPr>
        <w:jc w:val="center"/>
        <w:rPr>
          <w:b w:val="0"/>
          <w:color w:val="000000"/>
          <w:sz w:val="20"/>
        </w:rPr>
      </w:pPr>
      <w:r>
        <w:drawing>
          <wp:inline distT="0" distB="0" distL="114300" distR="114300">
            <wp:extent cx="4292600" cy="2436495"/>
            <wp:effectExtent l="0" t="0" r="0" b="19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8"/>
                    <a:stretch>
                      <a:fillRect/>
                    </a:stretch>
                  </pic:blipFill>
                  <pic:spPr>
                    <a:xfrm>
                      <a:off x="0" y="0"/>
                      <a:ext cx="4292600" cy="2436495"/>
                    </a:xfrm>
                    <a:prstGeom prst="rect">
                      <a:avLst/>
                    </a:prstGeom>
                    <a:noFill/>
                    <a:ln>
                      <a:noFill/>
                    </a:ln>
                  </pic:spPr>
                </pic:pic>
              </a:graphicData>
            </a:graphic>
          </wp:inline>
        </w:drawing>
      </w:r>
    </w:p>
    <w:p w14:paraId="7B55CF44">
      <w:pPr>
        <w:snapToGrid/>
        <w:spacing w:before="0" w:after="0" w:line="288" w:lineRule="auto"/>
        <w:ind w:right="0" w:firstLine="482" w:firstLineChars="200"/>
        <w:jc w:val="center"/>
        <w:rPr>
          <w:rFonts w:hint="default" w:ascii="仿宋" w:hAnsi="仿宋" w:eastAsia="仿宋" w:cs="仿宋"/>
          <w:i w:val="0"/>
          <w:strike w:val="0"/>
          <w:color w:val="000000"/>
          <w:sz w:val="32"/>
          <w:u w:val="none"/>
          <w:lang w:val="en-US" w:eastAsia="zh-CN"/>
        </w:rPr>
      </w:pPr>
      <w:r>
        <w:rPr>
          <w:rFonts w:hint="eastAsia" w:ascii="仿宋" w:hAnsi="仿宋" w:eastAsia="仿宋" w:cs="仿宋"/>
          <w:b/>
          <w:bCs/>
          <w:i w:val="0"/>
          <w:strike w:val="0"/>
          <w:color w:val="000000"/>
          <w:sz w:val="24"/>
          <w:szCs w:val="24"/>
          <w:u w:val="none"/>
          <w:lang w:val="en-US" w:eastAsia="zh-CN"/>
        </w:rPr>
        <w:t>图5-2-6 岗位的办公软件熟练程度要求</w:t>
      </w:r>
    </w:p>
    <w:p w14:paraId="7EEEFBDB">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5</w:t>
      </w:r>
      <w:r>
        <w:rPr>
          <w:rFonts w:hint="eastAsia" w:ascii="仿宋" w:hAnsi="仿宋" w:eastAsia="仿宋" w:cs="仿宋"/>
          <w:i w:val="0"/>
          <w:strike w:val="0"/>
          <w:color w:val="000000"/>
          <w:sz w:val="32"/>
          <w:u w:val="none"/>
          <w:lang w:eastAsia="zh-CN"/>
        </w:rPr>
        <w:t>）大多数企业不要求员工持有职业资格证书</w:t>
      </w:r>
    </w:p>
    <w:p w14:paraId="1875FBD3">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eastAsia="zh-CN"/>
        </w:rPr>
        <w:t>在图5-2-7中，90.48%的受访者表示他们的企业不要求员工持有职业资格证书，仅有9.52%的受访者表示要求。这表明大部分企业在招聘时更注重其他能力或经验，而非职业资格证书。</w:t>
      </w:r>
    </w:p>
    <w:p w14:paraId="1C90003C">
      <w:pPr>
        <w:jc w:val="center"/>
        <w:rPr>
          <w:b w:val="0"/>
          <w:color w:val="000000"/>
          <w:sz w:val="20"/>
        </w:rPr>
      </w:pPr>
      <w:r>
        <w:drawing>
          <wp:inline distT="0" distB="0" distL="114300" distR="114300">
            <wp:extent cx="3302000" cy="1871345"/>
            <wp:effectExtent l="0" t="0" r="0" b="825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9"/>
                    <a:stretch>
                      <a:fillRect/>
                    </a:stretch>
                  </pic:blipFill>
                  <pic:spPr>
                    <a:xfrm>
                      <a:off x="0" y="0"/>
                      <a:ext cx="3302000" cy="1871345"/>
                    </a:xfrm>
                    <a:prstGeom prst="rect">
                      <a:avLst/>
                    </a:prstGeom>
                    <a:noFill/>
                    <a:ln>
                      <a:noFill/>
                    </a:ln>
                  </pic:spPr>
                </pic:pic>
              </a:graphicData>
            </a:graphic>
          </wp:inline>
        </w:drawing>
      </w:r>
    </w:p>
    <w:p w14:paraId="27625E96">
      <w:pPr>
        <w:snapToGrid/>
        <w:spacing w:before="0" w:after="0" w:line="288" w:lineRule="auto"/>
        <w:ind w:right="0" w:firstLine="482" w:firstLineChars="200"/>
        <w:jc w:val="center"/>
        <w:rPr>
          <w:rFonts w:hint="eastAsia" w:ascii="仿宋" w:hAnsi="仿宋" w:eastAsia="仿宋" w:cs="仿宋"/>
          <w:i w:val="0"/>
          <w:strike w:val="0"/>
          <w:color w:val="000000"/>
          <w:sz w:val="32"/>
          <w:u w:val="none"/>
          <w:lang w:eastAsia="zh-CN"/>
        </w:rPr>
      </w:pPr>
      <w:r>
        <w:rPr>
          <w:rFonts w:hint="eastAsia" w:ascii="仿宋" w:hAnsi="仿宋" w:eastAsia="仿宋" w:cs="仿宋"/>
          <w:b/>
          <w:bCs/>
          <w:i w:val="0"/>
          <w:strike w:val="0"/>
          <w:color w:val="000000"/>
          <w:sz w:val="24"/>
          <w:szCs w:val="24"/>
          <w:u w:val="none"/>
          <w:lang w:val="en-US" w:eastAsia="zh-CN"/>
        </w:rPr>
        <w:t>图5-2-7 岗位的职业资格证书要求</w:t>
      </w:r>
    </w:p>
    <w:p w14:paraId="4D3610F2">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6</w:t>
      </w:r>
      <w:r>
        <w:rPr>
          <w:rFonts w:hint="eastAsia" w:ascii="仿宋" w:hAnsi="仿宋" w:eastAsia="仿宋" w:cs="仿宋"/>
          <w:i w:val="0"/>
          <w:strike w:val="0"/>
          <w:color w:val="000000"/>
          <w:sz w:val="32"/>
          <w:u w:val="none"/>
          <w:lang w:eastAsia="zh-CN"/>
        </w:rPr>
        <w:t>）大多数企业提供不定期培训</w:t>
      </w:r>
    </w:p>
    <w:p w14:paraId="0587EB8A">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eastAsia="zh-CN"/>
        </w:rPr>
        <w:t>在调查中，</w:t>
      </w:r>
      <w:r>
        <w:rPr>
          <w:rFonts w:hint="eastAsia" w:ascii="仿宋" w:hAnsi="仿宋" w:eastAsia="仿宋" w:cs="仿宋"/>
          <w:i w:val="0"/>
          <w:strike w:val="0"/>
          <w:color w:val="000000"/>
          <w:sz w:val="32"/>
          <w:u w:val="none"/>
          <w:lang w:val="en-US" w:eastAsia="zh-CN"/>
        </w:rPr>
        <w:t>由</w:t>
      </w:r>
      <w:r>
        <w:rPr>
          <w:rFonts w:hint="eastAsia" w:ascii="仿宋" w:hAnsi="仿宋" w:eastAsia="仿宋" w:cs="仿宋"/>
          <w:i w:val="0"/>
          <w:strike w:val="0"/>
          <w:color w:val="000000"/>
          <w:sz w:val="32"/>
          <w:u w:val="none"/>
          <w:lang w:eastAsia="zh-CN"/>
        </w:rPr>
        <w:t>图5-2-8</w:t>
      </w:r>
      <w:r>
        <w:rPr>
          <w:rFonts w:hint="eastAsia" w:ascii="仿宋" w:hAnsi="仿宋" w:eastAsia="仿宋" w:cs="仿宋"/>
          <w:i w:val="0"/>
          <w:strike w:val="0"/>
          <w:color w:val="000000"/>
          <w:sz w:val="32"/>
          <w:u w:val="none"/>
          <w:lang w:val="en-US" w:eastAsia="zh-CN"/>
        </w:rPr>
        <w:t>所示，</w:t>
      </w:r>
      <w:r>
        <w:rPr>
          <w:rFonts w:hint="eastAsia" w:ascii="仿宋" w:hAnsi="仿宋" w:eastAsia="仿宋" w:cs="仿宋"/>
          <w:i w:val="0"/>
          <w:strike w:val="0"/>
          <w:color w:val="000000"/>
          <w:sz w:val="32"/>
          <w:u w:val="none"/>
          <w:lang w:eastAsia="zh-CN"/>
        </w:rPr>
        <w:t>61.9%的企业表示提供不定期培训，这表明企业在员工培训方面采取灵活的策略，以适应不同的需求和情况。</w:t>
      </w:r>
    </w:p>
    <w:p w14:paraId="3C547457">
      <w:pPr>
        <w:jc w:val="center"/>
        <w:rPr>
          <w:b w:val="0"/>
          <w:color w:val="000000"/>
          <w:sz w:val="20"/>
        </w:rPr>
      </w:pPr>
      <w:r>
        <w:drawing>
          <wp:inline distT="0" distB="0" distL="114300" distR="114300">
            <wp:extent cx="3424555" cy="1940560"/>
            <wp:effectExtent l="0" t="0" r="4445" b="254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0"/>
                    <a:stretch>
                      <a:fillRect/>
                    </a:stretch>
                  </pic:blipFill>
                  <pic:spPr>
                    <a:xfrm>
                      <a:off x="0" y="0"/>
                      <a:ext cx="3424555" cy="1940560"/>
                    </a:xfrm>
                    <a:prstGeom prst="rect">
                      <a:avLst/>
                    </a:prstGeom>
                    <a:noFill/>
                    <a:ln>
                      <a:noFill/>
                    </a:ln>
                  </pic:spPr>
                </pic:pic>
              </a:graphicData>
            </a:graphic>
          </wp:inline>
        </w:drawing>
      </w:r>
    </w:p>
    <w:p w14:paraId="52C1CE89">
      <w:pPr>
        <w:snapToGrid/>
        <w:spacing w:before="0" w:after="0" w:line="288" w:lineRule="auto"/>
        <w:ind w:right="0" w:firstLine="482" w:firstLineChars="200"/>
        <w:jc w:val="center"/>
        <w:rPr>
          <w:rFonts w:hint="default" w:ascii="仿宋" w:hAnsi="仿宋" w:eastAsia="仿宋" w:cs="仿宋"/>
          <w:i w:val="0"/>
          <w:strike w:val="0"/>
          <w:color w:val="000000"/>
          <w:sz w:val="32"/>
          <w:u w:val="none"/>
          <w:lang w:val="en-US" w:eastAsia="zh-CN"/>
        </w:rPr>
      </w:pPr>
      <w:r>
        <w:rPr>
          <w:rFonts w:hint="eastAsia" w:ascii="仿宋" w:hAnsi="仿宋" w:eastAsia="仿宋" w:cs="仿宋"/>
          <w:b/>
          <w:bCs/>
          <w:i w:val="0"/>
          <w:strike w:val="0"/>
          <w:color w:val="000000"/>
          <w:sz w:val="24"/>
          <w:szCs w:val="24"/>
          <w:u w:val="none"/>
          <w:lang w:val="en-US" w:eastAsia="zh-CN"/>
        </w:rPr>
        <w:t>图5-2-8 企业提供不定期培训情况</w:t>
      </w:r>
    </w:p>
    <w:p w14:paraId="3A967721">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7</w:t>
      </w:r>
      <w:r>
        <w:rPr>
          <w:rFonts w:hint="eastAsia" w:ascii="仿宋" w:hAnsi="仿宋" w:eastAsia="仿宋" w:cs="仿宋"/>
          <w:i w:val="0"/>
          <w:strike w:val="0"/>
          <w:color w:val="000000"/>
          <w:sz w:val="32"/>
          <w:u w:val="none"/>
          <w:lang w:eastAsia="zh-CN"/>
        </w:rPr>
        <w:t>）业绩达成率和团队协作能力是最重要的考察能力。</w:t>
      </w:r>
    </w:p>
    <w:p w14:paraId="1AEE1FA8">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eastAsia="zh-CN"/>
        </w:rPr>
        <w:t>在调查中，由图5-2-</w:t>
      </w:r>
      <w:r>
        <w:rPr>
          <w:rFonts w:hint="eastAsia" w:ascii="仿宋" w:hAnsi="仿宋" w:eastAsia="仿宋" w:cs="仿宋"/>
          <w:i w:val="0"/>
          <w:strike w:val="0"/>
          <w:color w:val="000000"/>
          <w:sz w:val="32"/>
          <w:u w:val="none"/>
          <w:lang w:val="en-US" w:eastAsia="zh-CN"/>
        </w:rPr>
        <w:t>9</w:t>
      </w:r>
      <w:r>
        <w:rPr>
          <w:rFonts w:hint="eastAsia" w:ascii="仿宋" w:hAnsi="仿宋" w:eastAsia="仿宋" w:cs="仿宋"/>
          <w:i w:val="0"/>
          <w:strike w:val="0"/>
          <w:color w:val="000000"/>
          <w:sz w:val="32"/>
          <w:u w:val="none"/>
          <w:lang w:eastAsia="zh-CN"/>
        </w:rPr>
        <w:t>所示，76.19%的受访者认为业绩达成率和团队协作能力是员工晋升时最重要的考察能力。这表明，企业在评估员工晋升时，重视个人的业绩表现和团队合作精神。</w:t>
      </w:r>
    </w:p>
    <w:p w14:paraId="7E811BE1">
      <w:pPr>
        <w:jc w:val="center"/>
        <w:rPr>
          <w:b w:val="0"/>
          <w:color w:val="000000"/>
          <w:sz w:val="20"/>
        </w:rPr>
      </w:pPr>
      <w:r>
        <w:drawing>
          <wp:inline distT="0" distB="0" distL="114300" distR="114300">
            <wp:extent cx="3398520" cy="1925955"/>
            <wp:effectExtent l="0" t="0" r="5080" b="4445"/>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21"/>
                    <a:stretch>
                      <a:fillRect/>
                    </a:stretch>
                  </pic:blipFill>
                  <pic:spPr>
                    <a:xfrm>
                      <a:off x="0" y="0"/>
                      <a:ext cx="3398520" cy="1925955"/>
                    </a:xfrm>
                    <a:prstGeom prst="rect">
                      <a:avLst/>
                    </a:prstGeom>
                    <a:noFill/>
                    <a:ln>
                      <a:noFill/>
                    </a:ln>
                  </pic:spPr>
                </pic:pic>
              </a:graphicData>
            </a:graphic>
          </wp:inline>
        </w:drawing>
      </w:r>
    </w:p>
    <w:p w14:paraId="7389A4B0">
      <w:pPr>
        <w:snapToGrid/>
        <w:spacing w:before="0" w:after="0" w:line="288" w:lineRule="auto"/>
        <w:ind w:right="0" w:firstLine="482" w:firstLineChars="200"/>
        <w:jc w:val="center"/>
        <w:rPr>
          <w:rFonts w:hint="default" w:ascii="仿宋" w:hAnsi="仿宋" w:eastAsia="仿宋" w:cs="仿宋"/>
          <w:i w:val="0"/>
          <w:strike w:val="0"/>
          <w:color w:val="000000"/>
          <w:sz w:val="32"/>
          <w:u w:val="none"/>
          <w:lang w:val="en-US" w:eastAsia="zh-CN"/>
        </w:rPr>
      </w:pPr>
      <w:r>
        <w:rPr>
          <w:rFonts w:hint="eastAsia" w:ascii="仿宋" w:hAnsi="仿宋" w:eastAsia="仿宋" w:cs="仿宋"/>
          <w:b/>
          <w:bCs/>
          <w:i w:val="0"/>
          <w:strike w:val="0"/>
          <w:color w:val="000000"/>
          <w:sz w:val="24"/>
          <w:szCs w:val="24"/>
          <w:u w:val="none"/>
          <w:lang w:val="en-US" w:eastAsia="zh-CN"/>
        </w:rPr>
        <w:t>图5-2-9 企业考察的能力</w:t>
      </w:r>
    </w:p>
    <w:p w14:paraId="100AC10B">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8</w:t>
      </w:r>
      <w:r>
        <w:rPr>
          <w:rFonts w:hint="eastAsia" w:ascii="仿宋" w:hAnsi="仿宋" w:eastAsia="仿宋" w:cs="仿宋"/>
          <w:i w:val="0"/>
          <w:strike w:val="0"/>
          <w:color w:val="000000"/>
          <w:sz w:val="32"/>
          <w:u w:val="none"/>
          <w:lang w:eastAsia="zh-CN"/>
        </w:rPr>
        <w:t>）实践技能缺乏是主要差距</w:t>
      </w:r>
    </w:p>
    <w:p w14:paraId="4933913C">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eastAsia="zh-CN"/>
        </w:rPr>
        <w:t>调查显示，由图5-2-</w:t>
      </w:r>
      <w:r>
        <w:rPr>
          <w:rFonts w:hint="eastAsia" w:ascii="仿宋" w:hAnsi="仿宋" w:eastAsia="仿宋" w:cs="仿宋"/>
          <w:i w:val="0"/>
          <w:strike w:val="0"/>
          <w:color w:val="000000"/>
          <w:sz w:val="32"/>
          <w:u w:val="none"/>
          <w:lang w:val="en-US" w:eastAsia="zh-CN"/>
        </w:rPr>
        <w:t>10</w:t>
      </w:r>
      <w:r>
        <w:rPr>
          <w:rFonts w:hint="eastAsia" w:ascii="仿宋" w:hAnsi="仿宋" w:eastAsia="仿宋" w:cs="仿宋"/>
          <w:i w:val="0"/>
          <w:strike w:val="0"/>
          <w:color w:val="000000"/>
          <w:sz w:val="32"/>
          <w:u w:val="none"/>
          <w:lang w:eastAsia="zh-CN"/>
        </w:rPr>
        <w:t>所示，80.95%的受访者认为应届毕业生在实践技能方面存在明显不足，这表明高校教育可能未能有效地将理论知识转化为实际操作能力。</w:t>
      </w:r>
    </w:p>
    <w:p w14:paraId="00CFE349">
      <w:pPr>
        <w:jc w:val="center"/>
        <w:rPr>
          <w:b w:val="0"/>
          <w:color w:val="000000"/>
          <w:sz w:val="20"/>
        </w:rPr>
      </w:pPr>
      <w:r>
        <w:drawing>
          <wp:inline distT="0" distB="0" distL="114300" distR="114300">
            <wp:extent cx="3877945" cy="2197735"/>
            <wp:effectExtent l="0" t="0" r="825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3877945" cy="2197735"/>
                    </a:xfrm>
                    <a:prstGeom prst="rect">
                      <a:avLst/>
                    </a:prstGeom>
                    <a:noFill/>
                    <a:ln>
                      <a:noFill/>
                    </a:ln>
                  </pic:spPr>
                </pic:pic>
              </a:graphicData>
            </a:graphic>
          </wp:inline>
        </w:drawing>
      </w:r>
    </w:p>
    <w:p w14:paraId="06C4A2C0">
      <w:pPr>
        <w:snapToGrid/>
        <w:spacing w:before="0" w:after="0" w:line="288" w:lineRule="auto"/>
        <w:ind w:right="0" w:firstLine="482" w:firstLineChars="200"/>
        <w:jc w:val="center"/>
        <w:rPr>
          <w:rFonts w:hint="eastAsia" w:ascii="仿宋" w:hAnsi="仿宋" w:eastAsia="仿宋" w:cs="仿宋"/>
          <w:i w:val="0"/>
          <w:strike w:val="0"/>
          <w:color w:val="000000"/>
          <w:sz w:val="32"/>
          <w:u w:val="none"/>
          <w:lang w:eastAsia="zh-CN"/>
        </w:rPr>
      </w:pPr>
      <w:r>
        <w:rPr>
          <w:rFonts w:hint="eastAsia" w:ascii="仿宋" w:hAnsi="仿宋" w:eastAsia="仿宋" w:cs="仿宋"/>
          <w:b/>
          <w:bCs/>
          <w:i w:val="0"/>
          <w:strike w:val="0"/>
          <w:color w:val="000000"/>
          <w:sz w:val="24"/>
          <w:szCs w:val="24"/>
          <w:u w:val="none"/>
          <w:lang w:val="en-US" w:eastAsia="zh-CN"/>
        </w:rPr>
        <w:t>图5-2-10 学生的能力差距</w:t>
      </w:r>
    </w:p>
    <w:p w14:paraId="0BF9E9A3">
      <w:pPr>
        <w:snapToGrid/>
        <w:spacing w:before="0" w:after="0" w:line="288" w:lineRule="auto"/>
        <w:ind w:right="0"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9</w:t>
      </w:r>
      <w:r>
        <w:rPr>
          <w:rFonts w:hint="eastAsia" w:ascii="仿宋" w:hAnsi="仿宋" w:eastAsia="仿宋" w:cs="仿宋"/>
          <w:i w:val="0"/>
          <w:strike w:val="0"/>
          <w:color w:val="000000"/>
          <w:sz w:val="32"/>
          <w:u w:val="none"/>
          <w:lang w:eastAsia="zh-CN"/>
        </w:rPr>
        <w:t>）外贸流程全实训是最受欢迎的</w:t>
      </w:r>
      <w:r>
        <w:rPr>
          <w:rFonts w:hint="eastAsia" w:ascii="仿宋" w:hAnsi="仿宋" w:eastAsia="仿宋" w:cs="仿宋"/>
          <w:i w:val="0"/>
          <w:strike w:val="0"/>
          <w:color w:val="000000"/>
          <w:sz w:val="32"/>
          <w:u w:val="none"/>
          <w:lang w:val="en-US" w:eastAsia="zh-CN"/>
        </w:rPr>
        <w:t>培训</w:t>
      </w:r>
      <w:r>
        <w:rPr>
          <w:rFonts w:hint="eastAsia" w:ascii="仿宋" w:hAnsi="仿宋" w:eastAsia="仿宋" w:cs="仿宋"/>
          <w:i w:val="0"/>
          <w:strike w:val="0"/>
          <w:color w:val="000000"/>
          <w:sz w:val="32"/>
          <w:u w:val="none"/>
          <w:lang w:eastAsia="zh-CN"/>
        </w:rPr>
        <w:t>方向</w:t>
      </w:r>
    </w:p>
    <w:p w14:paraId="53D2B73F">
      <w:pPr>
        <w:snapToGrid/>
        <w:spacing w:before="0" w:after="0" w:line="288" w:lineRule="auto"/>
        <w:ind w:right="0" w:firstLine="640" w:firstLineChars="200"/>
        <w:jc w:val="both"/>
      </w:pPr>
      <w:r>
        <w:rPr>
          <w:rFonts w:hint="eastAsia" w:ascii="仿宋" w:hAnsi="仿宋" w:eastAsia="仿宋" w:cs="仿宋"/>
          <w:i w:val="0"/>
          <w:strike w:val="0"/>
          <w:color w:val="000000"/>
          <w:sz w:val="32"/>
          <w:u w:val="none"/>
          <w:lang w:eastAsia="zh-CN"/>
        </w:rPr>
        <w:t>在所有选项中，由图5-2-1</w:t>
      </w:r>
      <w:r>
        <w:rPr>
          <w:rFonts w:hint="eastAsia" w:ascii="仿宋" w:hAnsi="仿宋" w:eastAsia="仿宋" w:cs="仿宋"/>
          <w:i w:val="0"/>
          <w:strike w:val="0"/>
          <w:color w:val="000000"/>
          <w:sz w:val="32"/>
          <w:u w:val="none"/>
          <w:lang w:val="en-US" w:eastAsia="zh-CN"/>
        </w:rPr>
        <w:t>1</w:t>
      </w:r>
      <w:r>
        <w:rPr>
          <w:rFonts w:hint="eastAsia" w:ascii="仿宋" w:hAnsi="仿宋" w:eastAsia="仿宋" w:cs="仿宋"/>
          <w:i w:val="0"/>
          <w:strike w:val="0"/>
          <w:color w:val="000000"/>
          <w:sz w:val="32"/>
          <w:u w:val="none"/>
          <w:lang w:eastAsia="zh-CN"/>
        </w:rPr>
        <w:t>所示，71.43%的受访者选择了外贸流程全实训，显示出对实际操作能力的重视。这表明学生希望通过实训来提升他们在外贸领域的实际操作能力，以更好地适应未来的工作环境。</w:t>
      </w:r>
    </w:p>
    <w:p w14:paraId="50A84380">
      <w:pPr>
        <w:jc w:val="center"/>
        <w:rPr>
          <w:rFonts w:ascii="仿宋" w:hAnsi="仿宋" w:eastAsia="仿宋" w:cs="仿宋"/>
          <w:b/>
          <w:i w:val="0"/>
          <w:strike w:val="0"/>
          <w:color w:val="000000"/>
          <w:sz w:val="32"/>
          <w:u w:val="none"/>
        </w:rPr>
      </w:pPr>
      <w:r>
        <w:drawing>
          <wp:inline distT="0" distB="0" distL="114300" distR="114300">
            <wp:extent cx="3733800" cy="2115820"/>
            <wp:effectExtent l="0" t="0" r="0" b="508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3"/>
                    <a:stretch>
                      <a:fillRect/>
                    </a:stretch>
                  </pic:blipFill>
                  <pic:spPr>
                    <a:xfrm>
                      <a:off x="0" y="0"/>
                      <a:ext cx="3733800" cy="2115820"/>
                    </a:xfrm>
                    <a:prstGeom prst="rect">
                      <a:avLst/>
                    </a:prstGeom>
                    <a:noFill/>
                    <a:ln>
                      <a:noFill/>
                    </a:ln>
                  </pic:spPr>
                </pic:pic>
              </a:graphicData>
            </a:graphic>
          </wp:inline>
        </w:drawing>
      </w:r>
    </w:p>
    <w:p w14:paraId="37D5E8EA">
      <w:pPr>
        <w:spacing w:line="288" w:lineRule="auto"/>
        <w:ind w:firstLine="482" w:firstLineChars="200"/>
        <w:jc w:val="center"/>
        <w:rPr>
          <w:rFonts w:hint="eastAsia" w:ascii="仿宋" w:hAnsi="仿宋" w:eastAsia="仿宋" w:cs="仿宋"/>
          <w:b/>
          <w:bCs/>
          <w:i w:val="0"/>
          <w:strike w:val="0"/>
          <w:color w:val="000000"/>
          <w:sz w:val="24"/>
          <w:szCs w:val="24"/>
          <w:u w:val="none"/>
          <w:lang w:val="en-US" w:eastAsia="zh-CN"/>
        </w:rPr>
      </w:pPr>
      <w:r>
        <w:rPr>
          <w:rFonts w:hint="eastAsia" w:ascii="仿宋" w:hAnsi="仿宋" w:eastAsia="仿宋" w:cs="仿宋"/>
          <w:b/>
          <w:bCs/>
          <w:i w:val="0"/>
          <w:strike w:val="0"/>
          <w:color w:val="000000"/>
          <w:sz w:val="24"/>
          <w:szCs w:val="24"/>
          <w:u w:val="none"/>
          <w:lang w:val="en-US" w:eastAsia="zh-CN"/>
        </w:rPr>
        <w:t>图5-2-11最受学生欢迎的培训方向</w:t>
      </w:r>
    </w:p>
    <w:p w14:paraId="6066DDE4">
      <w:pPr>
        <w:spacing w:line="288" w:lineRule="auto"/>
        <w:ind w:firstLine="643" w:firstLineChars="200"/>
        <w:rPr>
          <w:rFonts w:hint="eastAsia" w:ascii="仿宋" w:hAnsi="仿宋" w:eastAsia="仿宋_GB2312" w:cs="楷体"/>
          <w:b/>
          <w:bCs/>
          <w:szCs w:val="32"/>
          <w:highlight w:val="yellow"/>
          <w:lang w:eastAsia="zh-CN"/>
        </w:rPr>
      </w:pPr>
      <w:r>
        <w:rPr>
          <w:rFonts w:hint="eastAsia" w:ascii="仿宋" w:hAnsi="仿宋" w:eastAsia="仿宋" w:cs="楷体"/>
          <w:b/>
          <w:bCs/>
          <w:szCs w:val="32"/>
        </w:rPr>
        <w:t>（二）毕业生的建议</w:t>
      </w:r>
    </w:p>
    <w:p w14:paraId="429F1B22">
      <w:pPr>
        <w:spacing w:line="560" w:lineRule="exact"/>
        <w:ind w:firstLine="640" w:firstLineChars="200"/>
        <w:rPr>
          <w:color w:val="000000"/>
          <w:szCs w:val="32"/>
          <w:lang w:val="zh-CN"/>
        </w:rPr>
      </w:pPr>
      <w:r>
        <w:rPr>
          <w:color w:val="000000"/>
          <w:szCs w:val="32"/>
          <w:lang w:val="zh-CN"/>
        </w:rPr>
        <w:t>毕业生普遍</w:t>
      </w:r>
      <w:r>
        <w:rPr>
          <w:rFonts w:hint="eastAsia"/>
          <w:color w:val="000000"/>
          <w:szCs w:val="32"/>
          <w:lang w:val="zh-CN"/>
        </w:rPr>
        <w:t>认为</w:t>
      </w:r>
      <w:r>
        <w:rPr>
          <w:color w:val="000000"/>
          <w:szCs w:val="32"/>
          <w:lang w:val="zh-CN"/>
        </w:rPr>
        <w:t>本专业课程体系</w:t>
      </w:r>
      <w:r>
        <w:rPr>
          <w:rFonts w:hint="eastAsia"/>
          <w:color w:val="000000"/>
          <w:szCs w:val="32"/>
          <w:lang w:val="zh-CN"/>
        </w:rPr>
        <w:t>能够满足</w:t>
      </w:r>
      <w:r>
        <w:rPr>
          <w:color w:val="000000"/>
          <w:szCs w:val="32"/>
          <w:lang w:val="zh-CN"/>
        </w:rPr>
        <w:t>职场基础需求，</w:t>
      </w:r>
      <w:r>
        <w:rPr>
          <w:rFonts w:hint="eastAsia"/>
          <w:color w:val="000000"/>
          <w:szCs w:val="32"/>
          <w:lang w:val="zh-CN"/>
        </w:rPr>
        <w:t>并</w:t>
      </w:r>
      <w:r>
        <w:rPr>
          <w:color w:val="000000"/>
          <w:szCs w:val="32"/>
          <w:lang w:val="zh-CN"/>
        </w:rPr>
        <w:t>提出以下优化建议</w:t>
      </w:r>
      <w:r>
        <w:rPr>
          <w:rFonts w:hint="eastAsia"/>
          <w:color w:val="000000"/>
          <w:szCs w:val="32"/>
          <w:lang w:val="zh-CN"/>
        </w:rPr>
        <w:t>。</w:t>
      </w:r>
    </w:p>
    <w:p w14:paraId="1DFDB7A6">
      <w:pPr>
        <w:numPr>
          <w:ilvl w:val="0"/>
          <w:numId w:val="0"/>
        </w:numPr>
        <w:spacing w:line="560" w:lineRule="exact"/>
        <w:ind w:firstLine="643" w:firstLineChars="200"/>
        <w:rPr>
          <w:b/>
          <w:bCs/>
          <w:color w:val="000000"/>
          <w:szCs w:val="32"/>
          <w:lang w:val="zh-CN"/>
        </w:rPr>
      </w:pPr>
      <w:r>
        <w:rPr>
          <w:rFonts w:hint="eastAsia"/>
          <w:b/>
          <w:bCs/>
          <w:color w:val="000000"/>
          <w:szCs w:val="32"/>
          <w:lang w:val="en-US" w:eastAsia="zh-CN"/>
        </w:rPr>
        <w:t>1.</w:t>
      </w:r>
      <w:r>
        <w:rPr>
          <w:b/>
          <w:bCs/>
          <w:color w:val="000000"/>
          <w:szCs w:val="32"/>
          <w:lang w:val="zh-CN"/>
        </w:rPr>
        <w:t>强化职业生涯规划与就业指导</w:t>
      </w:r>
    </w:p>
    <w:p w14:paraId="4622A4F3">
      <w:pPr>
        <w:numPr>
          <w:ilvl w:val="0"/>
          <w:numId w:val="0"/>
        </w:numPr>
        <w:spacing w:line="560" w:lineRule="exact"/>
        <w:ind w:firstLine="640" w:firstLineChars="200"/>
        <w:rPr>
          <w:color w:val="000000"/>
          <w:szCs w:val="32"/>
          <w:lang w:val="zh-CN"/>
        </w:rPr>
      </w:pPr>
      <w:r>
        <w:rPr>
          <w:color w:val="000000"/>
          <w:szCs w:val="32"/>
          <w:lang w:val="zh-CN"/>
        </w:rPr>
        <w:t>建议</w:t>
      </w:r>
      <w:r>
        <w:rPr>
          <w:rFonts w:hint="eastAsia"/>
          <w:color w:val="000000"/>
          <w:szCs w:val="32"/>
          <w:lang w:val="zh-CN"/>
        </w:rPr>
        <w:t>重视</w:t>
      </w:r>
      <w:r>
        <w:rPr>
          <w:color w:val="000000"/>
          <w:szCs w:val="32"/>
          <w:lang w:val="zh-CN"/>
        </w:rPr>
        <w:t>职业生涯规划与就业指导课程的内容与质量，引导学生明确个人发展目标，科学规划学习路径（包括考证、参赛、实习等），并培养自我驱动与持续学习的良好习惯，助力学生顺利过渡至职场生涯。</w:t>
      </w:r>
    </w:p>
    <w:p w14:paraId="1A23360B">
      <w:pPr>
        <w:numPr>
          <w:ilvl w:val="0"/>
          <w:numId w:val="0"/>
        </w:numPr>
        <w:spacing w:line="560" w:lineRule="exact"/>
        <w:ind w:firstLine="643" w:firstLineChars="200"/>
        <w:rPr>
          <w:color w:val="000000"/>
          <w:szCs w:val="32"/>
          <w:lang w:val="zh-CN"/>
        </w:rPr>
      </w:pPr>
      <w:r>
        <w:rPr>
          <w:rFonts w:hint="eastAsia"/>
          <w:b/>
          <w:bCs/>
          <w:color w:val="000000"/>
          <w:szCs w:val="32"/>
          <w:lang w:val="en-US" w:eastAsia="zh-CN"/>
        </w:rPr>
        <w:t>2.</w:t>
      </w:r>
      <w:r>
        <w:rPr>
          <w:b/>
          <w:bCs/>
          <w:color w:val="000000"/>
          <w:szCs w:val="32"/>
          <w:lang w:val="zh-CN"/>
        </w:rPr>
        <w:t>优化英语教学，增强实际应用能力</w:t>
      </w:r>
    </w:p>
    <w:p w14:paraId="7A67E2F3">
      <w:pPr>
        <w:numPr>
          <w:ilvl w:val="0"/>
          <w:numId w:val="0"/>
        </w:numPr>
        <w:spacing w:line="560" w:lineRule="exact"/>
        <w:ind w:firstLine="640" w:firstLineChars="200"/>
        <w:rPr>
          <w:color w:val="000000"/>
          <w:szCs w:val="32"/>
          <w:lang w:val="zh-CN"/>
        </w:rPr>
      </w:pPr>
      <w:r>
        <w:rPr>
          <w:color w:val="000000"/>
          <w:szCs w:val="32"/>
          <w:lang w:val="zh-CN"/>
        </w:rPr>
        <w:t>英语课时</w:t>
      </w:r>
      <w:r>
        <w:rPr>
          <w:rFonts w:hint="eastAsia"/>
          <w:color w:val="000000"/>
          <w:szCs w:val="32"/>
          <w:lang w:val="zh-CN"/>
        </w:rPr>
        <w:t>已经较为</w:t>
      </w:r>
      <w:r>
        <w:rPr>
          <w:color w:val="000000"/>
          <w:szCs w:val="32"/>
          <w:lang w:val="zh-CN"/>
        </w:rPr>
        <w:t>充足，建议进一步提升教学效果，通过加强与国际学院的合作，如组织与留学生</w:t>
      </w:r>
      <w:r>
        <w:rPr>
          <w:rFonts w:hint="eastAsia"/>
          <w:color w:val="000000"/>
          <w:szCs w:val="32"/>
          <w:lang w:val="zh-CN"/>
        </w:rPr>
        <w:t>的</w:t>
      </w:r>
      <w:r>
        <w:rPr>
          <w:color w:val="000000"/>
          <w:szCs w:val="32"/>
          <w:lang w:val="zh-CN"/>
        </w:rPr>
        <w:t>跨文化交流活动，创造更多英语实战应用机会，使学生在真实的语言环境中提升听说读写能力，增强语言运用的灵活性和准确性。</w:t>
      </w:r>
    </w:p>
    <w:p w14:paraId="65F8D3F3">
      <w:pPr>
        <w:numPr>
          <w:ilvl w:val="0"/>
          <w:numId w:val="0"/>
        </w:numPr>
        <w:spacing w:line="560" w:lineRule="exact"/>
        <w:ind w:firstLine="643" w:firstLineChars="200"/>
        <w:rPr>
          <w:color w:val="000000"/>
          <w:szCs w:val="32"/>
          <w:lang w:val="zh-CN"/>
        </w:rPr>
      </w:pPr>
      <w:r>
        <w:rPr>
          <w:rFonts w:hint="eastAsia"/>
          <w:b/>
          <w:bCs/>
          <w:color w:val="000000"/>
          <w:szCs w:val="32"/>
          <w:lang w:val="en-US" w:eastAsia="zh-CN"/>
        </w:rPr>
        <w:t>3.</w:t>
      </w:r>
      <w:r>
        <w:rPr>
          <w:b/>
          <w:bCs/>
          <w:color w:val="000000"/>
          <w:szCs w:val="32"/>
          <w:lang w:val="zh-CN"/>
        </w:rPr>
        <w:t>融合企业实践，深化专业核心课程</w:t>
      </w:r>
    </w:p>
    <w:p w14:paraId="73F1C00D">
      <w:pPr>
        <w:numPr>
          <w:ilvl w:val="0"/>
          <w:numId w:val="0"/>
        </w:numPr>
        <w:spacing w:line="560" w:lineRule="exact"/>
        <w:ind w:firstLine="640" w:firstLineChars="200"/>
        <w:rPr>
          <w:color w:val="000000"/>
          <w:szCs w:val="32"/>
          <w:lang w:val="zh-CN"/>
        </w:rPr>
      </w:pPr>
      <w:r>
        <w:rPr>
          <w:color w:val="000000"/>
          <w:szCs w:val="32"/>
          <w:lang w:val="zh-CN"/>
        </w:rPr>
        <w:t>针对专业核心课程，应加大实践教学比重，邀请具有丰富行业经验的企业导师参与授课</w:t>
      </w:r>
      <w:r>
        <w:rPr>
          <w:rFonts w:hint="eastAsia"/>
          <w:color w:val="000000"/>
          <w:szCs w:val="32"/>
          <w:lang w:val="zh-CN"/>
        </w:rPr>
        <w:t>。</w:t>
      </w:r>
      <w:r>
        <w:rPr>
          <w:color w:val="000000"/>
          <w:szCs w:val="32"/>
          <w:lang w:val="zh-CN"/>
        </w:rPr>
        <w:t>通过企业见习、短期实习等方式，让学生亲身体验职场环境，提高职业能力与市场需求</w:t>
      </w:r>
      <w:r>
        <w:rPr>
          <w:rFonts w:hint="eastAsia"/>
          <w:color w:val="000000"/>
          <w:szCs w:val="32"/>
          <w:lang w:val="zh-CN"/>
        </w:rPr>
        <w:t>的</w:t>
      </w:r>
      <w:r>
        <w:rPr>
          <w:color w:val="000000"/>
          <w:szCs w:val="32"/>
          <w:lang w:val="zh-CN"/>
        </w:rPr>
        <w:t>契合</w:t>
      </w:r>
      <w:r>
        <w:rPr>
          <w:rFonts w:hint="eastAsia"/>
          <w:color w:val="000000"/>
          <w:szCs w:val="32"/>
          <w:lang w:val="zh-CN"/>
        </w:rPr>
        <w:t>度</w:t>
      </w:r>
      <w:r>
        <w:rPr>
          <w:color w:val="000000"/>
          <w:szCs w:val="32"/>
          <w:lang w:val="zh-CN"/>
        </w:rPr>
        <w:t>。</w:t>
      </w:r>
    </w:p>
    <w:p w14:paraId="18EBE758">
      <w:pPr>
        <w:numPr>
          <w:ilvl w:val="0"/>
          <w:numId w:val="0"/>
        </w:numPr>
        <w:spacing w:line="560" w:lineRule="exact"/>
        <w:ind w:firstLine="643" w:firstLineChars="200"/>
        <w:rPr>
          <w:color w:val="000000"/>
          <w:szCs w:val="32"/>
          <w:lang w:val="zh-CN"/>
        </w:rPr>
      </w:pPr>
      <w:r>
        <w:rPr>
          <w:rFonts w:hint="eastAsia"/>
          <w:b/>
          <w:bCs/>
          <w:color w:val="000000"/>
          <w:szCs w:val="32"/>
          <w:lang w:val="en-US" w:eastAsia="zh-CN"/>
        </w:rPr>
        <w:t>4.</w:t>
      </w:r>
      <w:r>
        <w:rPr>
          <w:b/>
          <w:bCs/>
          <w:color w:val="000000"/>
          <w:szCs w:val="32"/>
          <w:lang w:val="zh-CN"/>
        </w:rPr>
        <w:t>培养独立思考与思辨能力</w:t>
      </w:r>
    </w:p>
    <w:p w14:paraId="1E019240">
      <w:pPr>
        <w:numPr>
          <w:ilvl w:val="0"/>
          <w:numId w:val="0"/>
        </w:numPr>
        <w:spacing w:line="560" w:lineRule="exact"/>
        <w:ind w:firstLine="640" w:firstLineChars="200"/>
        <w:rPr>
          <w:color w:val="000000"/>
          <w:szCs w:val="32"/>
          <w:lang w:val="zh-CN"/>
        </w:rPr>
      </w:pPr>
      <w:r>
        <w:rPr>
          <w:color w:val="000000"/>
          <w:szCs w:val="32"/>
          <w:lang w:val="zh-CN"/>
        </w:rPr>
        <w:t>在课程设计中融入案例分析、模拟谈判等互动式教学模式，激发学生的批判性思维和解决问题的能力，培养</w:t>
      </w:r>
      <w:r>
        <w:rPr>
          <w:rFonts w:hint="eastAsia"/>
          <w:color w:val="000000"/>
          <w:szCs w:val="32"/>
          <w:lang w:val="zh-CN"/>
        </w:rPr>
        <w:t>学生的</w:t>
      </w:r>
      <w:r>
        <w:rPr>
          <w:color w:val="000000"/>
          <w:szCs w:val="32"/>
          <w:lang w:val="zh-CN"/>
        </w:rPr>
        <w:t>“灵性”</w:t>
      </w:r>
      <w:r>
        <w:rPr>
          <w:rFonts w:hint="eastAsia"/>
          <w:color w:val="000000"/>
          <w:szCs w:val="32"/>
          <w:lang w:val="zh-CN"/>
        </w:rPr>
        <w:t>。</w:t>
      </w:r>
      <w:r>
        <w:rPr>
          <w:color w:val="000000"/>
          <w:szCs w:val="32"/>
          <w:lang w:val="zh-CN"/>
        </w:rPr>
        <w:t>面对复杂多变的环境时，能够迅速应变、灵活思考，保持逻辑清晰、判断准确。</w:t>
      </w:r>
    </w:p>
    <w:p w14:paraId="0E7AE15D">
      <w:pPr>
        <w:numPr>
          <w:ilvl w:val="0"/>
          <w:numId w:val="0"/>
        </w:numPr>
        <w:spacing w:line="560" w:lineRule="exact"/>
        <w:ind w:firstLine="643" w:firstLineChars="200"/>
        <w:rPr>
          <w:color w:val="000000"/>
          <w:szCs w:val="32"/>
          <w:lang w:val="zh-CN"/>
        </w:rPr>
      </w:pPr>
      <w:r>
        <w:rPr>
          <w:rFonts w:hint="eastAsia"/>
          <w:b/>
          <w:bCs/>
          <w:color w:val="000000"/>
          <w:szCs w:val="32"/>
          <w:lang w:val="en-US" w:eastAsia="zh-CN"/>
        </w:rPr>
        <w:t>5.</w:t>
      </w:r>
      <w:r>
        <w:rPr>
          <w:b/>
          <w:bCs/>
          <w:color w:val="000000"/>
          <w:szCs w:val="32"/>
          <w:lang w:val="zh-CN"/>
        </w:rPr>
        <w:t>紧跟行业动态，增设趋势分析课程</w:t>
      </w:r>
      <w:r>
        <w:rPr>
          <w:rFonts w:hint="eastAsia"/>
          <w:b/>
          <w:bCs/>
          <w:color w:val="000000"/>
          <w:szCs w:val="32"/>
          <w:lang w:val="zh-CN"/>
        </w:rPr>
        <w:t>内容</w:t>
      </w:r>
    </w:p>
    <w:p w14:paraId="73EDCFB6">
      <w:pPr>
        <w:numPr>
          <w:ilvl w:val="0"/>
          <w:numId w:val="0"/>
        </w:numPr>
        <w:spacing w:line="560" w:lineRule="exact"/>
        <w:ind w:firstLine="640" w:firstLineChars="200"/>
        <w:rPr>
          <w:color w:val="000000"/>
          <w:szCs w:val="32"/>
          <w:lang w:val="zh-CN"/>
        </w:rPr>
      </w:pPr>
      <w:r>
        <w:rPr>
          <w:color w:val="000000"/>
          <w:szCs w:val="32"/>
          <w:lang w:val="zh-CN"/>
        </w:rPr>
        <w:t>为了使学生更好地适应未来职场挑战，建议</w:t>
      </w:r>
      <w:r>
        <w:rPr>
          <w:rFonts w:hint="eastAsia"/>
          <w:color w:val="000000"/>
          <w:szCs w:val="32"/>
          <w:lang w:val="zh-CN"/>
        </w:rPr>
        <w:t>在</w:t>
      </w:r>
      <w:r>
        <w:rPr>
          <w:color w:val="000000"/>
          <w:szCs w:val="32"/>
          <w:lang w:val="zh-CN"/>
        </w:rPr>
        <w:t>课程中注重行业趋势分析，通过数据解读、案例分析等方式，引导学生紧密关注外贸行业最新动态，培养</w:t>
      </w:r>
      <w:r>
        <w:rPr>
          <w:rFonts w:hint="eastAsia"/>
          <w:color w:val="000000"/>
          <w:szCs w:val="32"/>
          <w:lang w:val="zh-CN"/>
        </w:rPr>
        <w:t>学生</w:t>
      </w:r>
      <w:r>
        <w:rPr>
          <w:color w:val="000000"/>
          <w:szCs w:val="32"/>
          <w:lang w:val="zh-CN"/>
        </w:rPr>
        <w:t>敏锐的市场洞察力和对变化的快速响应能力。</w:t>
      </w:r>
    </w:p>
    <w:p w14:paraId="63B73E92">
      <w:pPr>
        <w:pStyle w:val="4"/>
        <w:numPr>
          <w:ilvl w:val="0"/>
          <w:numId w:val="0"/>
        </w:numPr>
        <w:ind w:firstLine="643" w:firstLineChars="200"/>
        <w:rPr>
          <w:rFonts w:ascii="Times New Roman" w:hAnsi="Times New Roman" w:eastAsia="仿宋_GB2312" w:cs="Times New Roman"/>
          <w:b/>
          <w:bCs/>
          <w:color w:val="000000"/>
          <w:kern w:val="2"/>
          <w:sz w:val="32"/>
          <w:szCs w:val="32"/>
          <w:lang w:val="zh-CN" w:eastAsia="zh-CN" w:bidi="ar-SA"/>
        </w:rPr>
      </w:pPr>
      <w:r>
        <w:rPr>
          <w:rFonts w:hint="eastAsia" w:eastAsia="仿宋_GB2312" w:cs="Times New Roman"/>
          <w:b/>
          <w:bCs/>
          <w:color w:val="000000"/>
          <w:kern w:val="2"/>
          <w:sz w:val="32"/>
          <w:szCs w:val="32"/>
          <w:lang w:val="en-US" w:eastAsia="zh-CN" w:bidi="ar-SA"/>
        </w:rPr>
        <w:t>6.</w:t>
      </w:r>
      <w:r>
        <w:rPr>
          <w:rFonts w:ascii="Times New Roman" w:hAnsi="Times New Roman" w:eastAsia="仿宋_GB2312" w:cs="Times New Roman"/>
          <w:b/>
          <w:bCs/>
          <w:color w:val="000000"/>
          <w:kern w:val="2"/>
          <w:sz w:val="32"/>
          <w:szCs w:val="32"/>
          <w:lang w:val="zh-CN" w:eastAsia="zh-CN" w:bidi="ar-SA"/>
        </w:rPr>
        <w:t>强化市场开拓</w:t>
      </w:r>
      <w:r>
        <w:rPr>
          <w:rFonts w:hint="eastAsia" w:ascii="Times New Roman" w:hAnsi="Times New Roman" w:eastAsia="仿宋_GB2312" w:cs="Times New Roman"/>
          <w:b/>
          <w:bCs/>
          <w:color w:val="000000"/>
          <w:kern w:val="2"/>
          <w:sz w:val="32"/>
          <w:szCs w:val="32"/>
          <w:lang w:val="zh-CN" w:eastAsia="zh-CN" w:bidi="ar-SA"/>
        </w:rPr>
        <w:t>能力</w:t>
      </w:r>
      <w:r>
        <w:rPr>
          <w:rFonts w:ascii="Times New Roman" w:hAnsi="Times New Roman" w:eastAsia="仿宋_GB2312" w:cs="Times New Roman"/>
          <w:b/>
          <w:bCs/>
          <w:color w:val="000000"/>
          <w:kern w:val="2"/>
          <w:sz w:val="32"/>
          <w:szCs w:val="32"/>
          <w:lang w:val="zh-CN" w:eastAsia="zh-CN" w:bidi="ar-SA"/>
        </w:rPr>
        <w:t>培养</w:t>
      </w:r>
    </w:p>
    <w:p w14:paraId="36A06C5B">
      <w:pPr>
        <w:pStyle w:val="4"/>
        <w:numPr>
          <w:ilvl w:val="0"/>
          <w:numId w:val="0"/>
        </w:numPr>
        <w:ind w:firstLine="640" w:firstLineChars="200"/>
        <w:rPr>
          <w:rFonts w:hint="eastAsia" w:ascii="Times New Roman" w:hAnsi="Times New Roman" w:eastAsia="仿宋_GB2312" w:cs="Times New Roman"/>
          <w:b w:val="0"/>
          <w:bCs w:val="0"/>
          <w:color w:val="000000"/>
          <w:kern w:val="2"/>
          <w:sz w:val="32"/>
          <w:szCs w:val="32"/>
          <w:lang w:val="zh-CN" w:eastAsia="zh-CN" w:bidi="ar-SA"/>
        </w:rPr>
      </w:pPr>
      <w:r>
        <w:rPr>
          <w:rFonts w:ascii="Times New Roman" w:hAnsi="Times New Roman" w:eastAsia="仿宋_GB2312" w:cs="Times New Roman"/>
          <w:b w:val="0"/>
          <w:bCs w:val="0"/>
          <w:color w:val="000000"/>
          <w:kern w:val="2"/>
          <w:sz w:val="32"/>
          <w:szCs w:val="32"/>
          <w:lang w:val="zh-CN" w:eastAsia="zh-CN" w:bidi="ar-SA"/>
        </w:rPr>
        <w:t>在课程中系统性地教授市场开拓策略、客户关系管理技巧，并鼓励学生积极参与真实或模拟的商业项目，提升业务运营与管理能力，为未来的职业生涯奠定坚实基础。</w:t>
      </w:r>
    </w:p>
    <w:p w14:paraId="54278172">
      <w:pPr>
        <w:pStyle w:val="4"/>
        <w:ind w:firstLine="643"/>
        <w:rPr>
          <w:rFonts w:hint="eastAsia" w:ascii="Times New Roman" w:hAnsi="Times New Roman" w:eastAsia="仿宋_GB2312" w:cs="Times New Roman"/>
          <w:kern w:val="2"/>
          <w:sz w:val="32"/>
          <w:highlight w:val="yellow"/>
          <w:lang w:val="en-US" w:eastAsia="zh-CN" w:bidi="ar-SA"/>
        </w:rPr>
      </w:pPr>
      <w:r>
        <w:rPr>
          <w:rFonts w:hint="eastAsia" w:ascii="仿宋" w:hAnsi="仿宋" w:eastAsia="仿宋"/>
          <w:b/>
          <w:sz w:val="32"/>
          <w:szCs w:val="32"/>
        </w:rPr>
        <w:t>（三）在校生</w:t>
      </w:r>
      <w:r>
        <w:rPr>
          <w:rFonts w:hint="eastAsia" w:ascii="仿宋" w:hAnsi="仿宋" w:eastAsia="仿宋"/>
          <w:b/>
          <w:sz w:val="32"/>
          <w:szCs w:val="32"/>
          <w:lang w:eastAsia="zh-CN"/>
        </w:rPr>
        <w:t>的</w:t>
      </w:r>
      <w:r>
        <w:rPr>
          <w:rFonts w:hint="eastAsia" w:ascii="仿宋" w:hAnsi="仿宋" w:eastAsia="仿宋"/>
          <w:b/>
          <w:sz w:val="32"/>
          <w:szCs w:val="32"/>
        </w:rPr>
        <w:t>建议</w:t>
      </w:r>
    </w:p>
    <w:p w14:paraId="275A06E9">
      <w:pPr>
        <w:numPr>
          <w:ilvl w:val="0"/>
          <w:numId w:val="0"/>
        </w:numPr>
        <w:snapToGrid/>
        <w:spacing w:before="0" w:after="0" w:line="240" w:lineRule="auto"/>
        <w:ind w:leftChars="150" w:right="0" w:rightChars="0" w:firstLine="321" w:firstLineChars="100"/>
        <w:jc w:val="both"/>
        <w:rPr>
          <w:rFonts w:hint="eastAsia" w:ascii="仿宋" w:hAnsi="仿宋" w:eastAsia="仿宋" w:cs="仿宋"/>
          <w:b/>
          <w:bCs/>
          <w:i w:val="0"/>
          <w:strike w:val="0"/>
          <w:color w:val="000000"/>
          <w:sz w:val="32"/>
          <w:u w:val="none"/>
          <w:lang w:val="en-US" w:eastAsia="zh-CN"/>
        </w:rPr>
      </w:pPr>
      <w:r>
        <w:rPr>
          <w:rFonts w:hint="eastAsia" w:ascii="仿宋" w:hAnsi="仿宋" w:eastAsia="仿宋" w:cs="仿宋"/>
          <w:b/>
          <w:bCs/>
          <w:i w:val="0"/>
          <w:strike w:val="0"/>
          <w:color w:val="000000"/>
          <w:sz w:val="32"/>
          <w:u w:val="none"/>
          <w:lang w:val="en-US" w:eastAsia="zh-CN"/>
        </w:rPr>
        <w:t>1.优化课时配置，促进全面发展</w:t>
      </w:r>
    </w:p>
    <w:p w14:paraId="286ED035">
      <w:pPr>
        <w:numPr>
          <w:ilvl w:val="0"/>
          <w:numId w:val="0"/>
        </w:numPr>
        <w:snapToGrid/>
        <w:spacing w:before="0" w:after="0" w:line="240" w:lineRule="auto"/>
        <w:ind w:right="0" w:rightChars="0" w:firstLine="640" w:firstLineChars="200"/>
        <w:jc w:val="both"/>
        <w:rPr>
          <w:rFonts w:hint="eastAsia" w:ascii="仿宋" w:hAnsi="仿宋" w:eastAsia="仿宋" w:cs="仿宋"/>
          <w:i w:val="0"/>
          <w:strike w:val="0"/>
          <w:color w:val="000000"/>
          <w:sz w:val="32"/>
          <w:u w:val="none"/>
          <w:lang w:val="en-US" w:eastAsia="zh-CN"/>
        </w:rPr>
      </w:pPr>
      <w:r>
        <w:rPr>
          <w:rFonts w:hint="eastAsia" w:ascii="仿宋" w:hAnsi="仿宋" w:eastAsia="仿宋" w:cs="仿宋"/>
          <w:i w:val="0"/>
          <w:strike w:val="0"/>
          <w:color w:val="000000"/>
          <w:sz w:val="32"/>
          <w:u w:val="none"/>
          <w:lang w:val="en-US" w:eastAsia="zh-CN"/>
        </w:rPr>
        <w:t>根据问卷调查结果，由图5-3-1和图5-3-2所示，多数学生认为课程设置较为合理，与实际业务联系紧密的跨境电商实务和外贸单证实务这两门课程的收获最大，国际贸易模拟操作是学生认为最欠缺的课程。在校生普遍期望学校能够进一步控制并优化课时总量，实现课程安排的科学化与合理化，增加更多模拟实践环节，以更好地适应未来的职业需求；还应充分考虑学生的个体差异与兴趣导向，留出更为充裕的时间给学生依据个人兴趣与职业规划，开展个性化学习和第二课堂活动，丰富校园生活，培养综合素质与综合能力。</w:t>
      </w:r>
    </w:p>
    <w:p w14:paraId="3EAA3319">
      <w:pPr>
        <w:snapToGrid/>
        <w:spacing w:before="0" w:after="0" w:line="240" w:lineRule="auto"/>
        <w:ind w:left="0" w:right="0" w:firstLine="480" w:firstLineChars="150"/>
        <w:jc w:val="center"/>
      </w:pPr>
      <w:r>
        <w:drawing>
          <wp:inline distT="0" distB="0" distL="114300" distR="114300">
            <wp:extent cx="3811270" cy="2030095"/>
            <wp:effectExtent l="0" t="0" r="1143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3811270" cy="2030095"/>
                    </a:xfrm>
                    <a:prstGeom prst="rect">
                      <a:avLst/>
                    </a:prstGeom>
                    <a:noFill/>
                    <a:ln>
                      <a:noFill/>
                    </a:ln>
                  </pic:spPr>
                </pic:pic>
              </a:graphicData>
            </a:graphic>
          </wp:inline>
        </w:drawing>
      </w:r>
    </w:p>
    <w:p w14:paraId="2B9379C7">
      <w:pPr>
        <w:spacing w:line="288" w:lineRule="auto"/>
        <w:ind w:firstLine="482" w:firstLineChars="200"/>
        <w:jc w:val="center"/>
        <w:rPr>
          <w:rFonts w:hint="default" w:ascii="仿宋" w:hAnsi="仿宋" w:eastAsia="仿宋" w:cs="仿宋"/>
          <w:b/>
          <w:bCs/>
          <w:i w:val="0"/>
          <w:strike w:val="0"/>
          <w:color w:val="000000"/>
          <w:sz w:val="24"/>
          <w:szCs w:val="24"/>
          <w:u w:val="none"/>
          <w:lang w:val="en-US" w:eastAsia="zh-CN"/>
        </w:rPr>
      </w:pPr>
      <w:r>
        <w:rPr>
          <w:rFonts w:hint="eastAsia" w:ascii="仿宋" w:hAnsi="仿宋" w:eastAsia="仿宋" w:cs="仿宋"/>
          <w:b/>
          <w:bCs/>
          <w:i w:val="0"/>
          <w:strike w:val="0"/>
          <w:color w:val="000000"/>
          <w:sz w:val="24"/>
          <w:szCs w:val="24"/>
          <w:u w:val="none"/>
          <w:lang w:val="en-US" w:eastAsia="zh-CN"/>
        </w:rPr>
        <w:t>图5-3-1课程设置的合理性</w:t>
      </w:r>
    </w:p>
    <w:p w14:paraId="01C7867B">
      <w:pPr>
        <w:pStyle w:val="4"/>
        <w:rPr>
          <w:rFonts w:hint="eastAsia"/>
        </w:rPr>
      </w:pPr>
    </w:p>
    <w:p w14:paraId="7045442A">
      <w:pPr>
        <w:snapToGrid/>
        <w:spacing w:before="0" w:after="0" w:line="240" w:lineRule="auto"/>
        <w:ind w:left="0" w:right="0" w:firstLine="480" w:firstLineChars="150"/>
        <w:jc w:val="center"/>
        <w:rPr>
          <w:rFonts w:hint="eastAsia" w:ascii="仿宋" w:hAnsi="仿宋" w:eastAsia="仿宋" w:cs="仿宋"/>
          <w:i w:val="0"/>
          <w:strike w:val="0"/>
          <w:color w:val="000000"/>
          <w:sz w:val="32"/>
          <w:u w:val="none"/>
        </w:rPr>
      </w:pPr>
      <w:r>
        <w:drawing>
          <wp:inline distT="0" distB="0" distL="114300" distR="114300">
            <wp:extent cx="3821430" cy="2017395"/>
            <wp:effectExtent l="0" t="0" r="127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3821430" cy="2017395"/>
                    </a:xfrm>
                    <a:prstGeom prst="rect">
                      <a:avLst/>
                    </a:prstGeom>
                    <a:noFill/>
                    <a:ln>
                      <a:noFill/>
                    </a:ln>
                  </pic:spPr>
                </pic:pic>
              </a:graphicData>
            </a:graphic>
          </wp:inline>
        </w:drawing>
      </w:r>
    </w:p>
    <w:p w14:paraId="4130F27B">
      <w:pPr>
        <w:spacing w:line="288" w:lineRule="auto"/>
        <w:ind w:firstLine="482" w:firstLineChars="200"/>
        <w:jc w:val="center"/>
        <w:rPr>
          <w:rFonts w:hint="eastAsia" w:ascii="仿宋" w:hAnsi="仿宋" w:eastAsia="仿宋" w:cs="仿宋"/>
          <w:b/>
          <w:bCs/>
          <w:i w:val="0"/>
          <w:strike w:val="0"/>
          <w:color w:val="000000"/>
          <w:sz w:val="32"/>
          <w:u w:val="none"/>
          <w:lang w:val="en-US" w:eastAsia="zh-CN"/>
        </w:rPr>
      </w:pPr>
      <w:r>
        <w:rPr>
          <w:rFonts w:hint="eastAsia" w:ascii="仿宋" w:hAnsi="仿宋" w:eastAsia="仿宋" w:cs="仿宋"/>
          <w:b/>
          <w:bCs/>
          <w:i w:val="0"/>
          <w:strike w:val="0"/>
          <w:color w:val="000000"/>
          <w:sz w:val="24"/>
          <w:szCs w:val="24"/>
          <w:u w:val="none"/>
          <w:lang w:val="en-US" w:eastAsia="zh-CN"/>
        </w:rPr>
        <w:t>图5-3-2学生认为最有收获的课程</w:t>
      </w:r>
    </w:p>
    <w:p w14:paraId="59A966A4">
      <w:pPr>
        <w:numPr>
          <w:ilvl w:val="0"/>
          <w:numId w:val="0"/>
        </w:numPr>
        <w:snapToGrid/>
        <w:spacing w:before="0" w:after="0" w:line="240" w:lineRule="auto"/>
        <w:ind w:leftChars="250" w:right="0" w:rightChars="0"/>
        <w:jc w:val="both"/>
        <w:rPr>
          <w:rFonts w:hint="eastAsia" w:ascii="仿宋" w:hAnsi="仿宋" w:eastAsia="仿宋" w:cs="仿宋"/>
          <w:i w:val="0"/>
          <w:strike w:val="0"/>
          <w:color w:val="000000"/>
          <w:sz w:val="32"/>
          <w:u w:val="none"/>
        </w:rPr>
      </w:pPr>
      <w:r>
        <w:rPr>
          <w:rFonts w:hint="eastAsia" w:ascii="仿宋" w:hAnsi="仿宋" w:eastAsia="仿宋" w:cs="仿宋"/>
          <w:b/>
          <w:bCs/>
          <w:i w:val="0"/>
          <w:strike w:val="0"/>
          <w:color w:val="000000"/>
          <w:sz w:val="32"/>
          <w:u w:val="none"/>
          <w:lang w:val="en-US" w:eastAsia="zh-CN"/>
        </w:rPr>
        <w:t>2.创新教学方法，</w:t>
      </w:r>
      <w:r>
        <w:rPr>
          <w:rFonts w:hint="eastAsia" w:ascii="仿宋" w:hAnsi="仿宋" w:eastAsia="仿宋" w:cs="仿宋"/>
          <w:b/>
          <w:bCs/>
          <w:i w:val="0"/>
          <w:strike w:val="0"/>
          <w:color w:val="000000"/>
          <w:sz w:val="32"/>
          <w:u w:val="none"/>
        </w:rPr>
        <w:t>动态更新课程</w:t>
      </w:r>
      <w:r>
        <w:rPr>
          <w:rFonts w:hint="eastAsia" w:ascii="仿宋" w:hAnsi="仿宋" w:eastAsia="仿宋" w:cs="仿宋"/>
          <w:b/>
          <w:bCs/>
          <w:i w:val="0"/>
          <w:strike w:val="0"/>
          <w:color w:val="000000"/>
          <w:sz w:val="32"/>
          <w:u w:val="none"/>
          <w:lang w:val="en-US" w:eastAsia="zh-CN"/>
        </w:rPr>
        <w:t>内容</w:t>
      </w:r>
    </w:p>
    <w:p w14:paraId="2482BACA">
      <w:pPr>
        <w:snapToGrid/>
        <w:spacing w:before="0" w:after="0" w:line="240" w:lineRule="auto"/>
        <w:ind w:right="0" w:firstLine="640" w:firstLineChars="200"/>
        <w:jc w:val="both"/>
        <w:rPr>
          <w:rFonts w:hint="default" w:ascii="仿宋" w:hAnsi="仿宋" w:eastAsia="仿宋" w:cs="仿宋"/>
          <w:i w:val="0"/>
          <w:strike w:val="0"/>
          <w:color w:val="000000"/>
          <w:sz w:val="32"/>
          <w:u w:val="none"/>
          <w:lang w:val="en-US" w:eastAsia="zh-CN"/>
        </w:rPr>
      </w:pPr>
      <w:r>
        <w:rPr>
          <w:rFonts w:hint="eastAsia" w:ascii="仿宋" w:hAnsi="仿宋" w:eastAsia="仿宋" w:cs="仿宋"/>
          <w:i w:val="0"/>
          <w:strike w:val="0"/>
          <w:color w:val="000000"/>
          <w:sz w:val="32"/>
          <w:u w:val="none"/>
          <w:lang w:val="en-US" w:eastAsia="zh-CN"/>
        </w:rPr>
        <w:t>调研结果来看，由图5-3-3所示，在</w:t>
      </w:r>
      <w:r>
        <w:rPr>
          <w:rFonts w:hint="eastAsia" w:ascii="仿宋" w:hAnsi="仿宋" w:eastAsia="仿宋" w:cs="仿宋"/>
          <w:i w:val="0"/>
          <w:strike w:val="0"/>
          <w:color w:val="000000"/>
          <w:sz w:val="32"/>
          <w:u w:val="none"/>
        </w:rPr>
        <w:t>期望的教学方法</w:t>
      </w:r>
      <w:r>
        <w:rPr>
          <w:rFonts w:hint="eastAsia" w:ascii="仿宋" w:hAnsi="仿宋" w:eastAsia="仿宋" w:cs="仿宋"/>
          <w:i w:val="0"/>
          <w:strike w:val="0"/>
          <w:color w:val="000000"/>
          <w:sz w:val="32"/>
          <w:u w:val="none"/>
          <w:lang w:val="en-US" w:eastAsia="zh-CN"/>
        </w:rPr>
        <w:t>中，</w:t>
      </w:r>
      <w:r>
        <w:rPr>
          <w:rFonts w:hint="eastAsia" w:ascii="仿宋" w:hAnsi="仿宋" w:eastAsia="仿宋" w:cs="仿宋"/>
          <w:i w:val="0"/>
          <w:strike w:val="0"/>
          <w:color w:val="000000"/>
          <w:sz w:val="32"/>
          <w:u w:val="none"/>
        </w:rPr>
        <w:t>学生对实践操作机会的需求最为强烈，这与国际经济与贸易专业的实践性密切相关，学生希望通过实践操作更好地掌握知识。</w:t>
      </w:r>
      <w:r>
        <w:rPr>
          <w:rFonts w:hint="eastAsia" w:ascii="仿宋" w:hAnsi="仿宋" w:eastAsia="仿宋" w:cs="仿宋"/>
          <w:i w:val="0"/>
          <w:strike w:val="0"/>
          <w:color w:val="000000"/>
          <w:sz w:val="32"/>
          <w:u w:val="none"/>
          <w:lang w:val="en-US" w:eastAsia="zh-CN"/>
        </w:rPr>
        <w:t>在</w:t>
      </w:r>
      <w:r>
        <w:rPr>
          <w:rFonts w:hint="eastAsia" w:ascii="仿宋" w:hAnsi="仿宋" w:eastAsia="仿宋" w:cs="仿宋"/>
          <w:i w:val="0"/>
          <w:strike w:val="0"/>
          <w:color w:val="000000"/>
          <w:sz w:val="32"/>
          <w:u w:val="none"/>
        </w:rPr>
        <w:t>期望融入的教学内容方面，学生对国际贸易实际案例、热点问题分析和最新法规的需求较高，学生希望课程内容与实际紧密结合，增强自身的竞争力</w:t>
      </w: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如</w:t>
      </w:r>
      <w:r>
        <w:rPr>
          <w:rFonts w:hint="eastAsia" w:ascii="仿宋" w:hAnsi="仿宋" w:eastAsia="仿宋" w:cs="仿宋"/>
          <w:i w:val="0"/>
          <w:strike w:val="0"/>
          <w:color w:val="000000"/>
          <w:sz w:val="32"/>
          <w:u w:val="none"/>
          <w:lang w:eastAsia="zh-CN"/>
        </w:rPr>
        <w:t>图5-3-4</w:t>
      </w:r>
      <w:r>
        <w:rPr>
          <w:rFonts w:hint="eastAsia" w:ascii="仿宋" w:hAnsi="仿宋" w:eastAsia="仿宋" w:cs="仿宋"/>
          <w:i w:val="0"/>
          <w:strike w:val="0"/>
          <w:color w:val="000000"/>
          <w:sz w:val="32"/>
          <w:u w:val="none"/>
          <w:lang w:val="en-US" w:eastAsia="zh-CN"/>
        </w:rPr>
        <w:t>所示。</w:t>
      </w:r>
    </w:p>
    <w:p w14:paraId="6AE6BF3F">
      <w:pPr>
        <w:snapToGrid/>
        <w:spacing w:before="0" w:after="0" w:line="240" w:lineRule="auto"/>
        <w:ind w:left="0" w:right="0" w:firstLine="480" w:firstLineChars="150"/>
        <w:jc w:val="center"/>
      </w:pPr>
      <w:r>
        <w:drawing>
          <wp:inline distT="0" distB="0" distL="114300" distR="114300">
            <wp:extent cx="3745865" cy="2088515"/>
            <wp:effectExtent l="0" t="0" r="63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3745865" cy="2088515"/>
                    </a:xfrm>
                    <a:prstGeom prst="rect">
                      <a:avLst/>
                    </a:prstGeom>
                    <a:noFill/>
                    <a:ln>
                      <a:noFill/>
                    </a:ln>
                  </pic:spPr>
                </pic:pic>
              </a:graphicData>
            </a:graphic>
          </wp:inline>
        </w:drawing>
      </w:r>
    </w:p>
    <w:p w14:paraId="1043A1BE">
      <w:pPr>
        <w:pStyle w:val="4"/>
        <w:jc w:val="center"/>
        <w:rPr>
          <w:rFonts w:hint="eastAsia"/>
        </w:rPr>
      </w:pPr>
      <w:r>
        <w:rPr>
          <w:rFonts w:hint="eastAsia" w:ascii="仿宋" w:hAnsi="仿宋" w:eastAsia="仿宋" w:cs="仿宋"/>
          <w:b/>
          <w:bCs/>
          <w:i w:val="0"/>
          <w:strike w:val="0"/>
          <w:color w:val="000000"/>
          <w:sz w:val="24"/>
          <w:szCs w:val="24"/>
          <w:u w:val="none"/>
          <w:lang w:val="en-US" w:eastAsia="zh-CN"/>
        </w:rPr>
        <w:t>图5-3-3期望的教学方法</w:t>
      </w:r>
    </w:p>
    <w:p w14:paraId="145DFF6F">
      <w:pPr>
        <w:snapToGrid/>
        <w:spacing w:before="0" w:after="0" w:line="240" w:lineRule="auto"/>
        <w:ind w:left="0" w:right="0" w:firstLine="480" w:firstLineChars="150"/>
        <w:jc w:val="center"/>
        <w:rPr>
          <w:rFonts w:hint="eastAsia" w:ascii="仿宋" w:hAnsi="仿宋" w:eastAsia="仿宋" w:cs="仿宋"/>
          <w:b/>
          <w:bCs/>
          <w:i w:val="0"/>
          <w:strike w:val="0"/>
          <w:color w:val="000000"/>
          <w:sz w:val="32"/>
          <w:u w:val="none"/>
          <w:lang w:val="en-US" w:eastAsia="zh-CN"/>
        </w:rPr>
      </w:pPr>
      <w:r>
        <w:drawing>
          <wp:inline distT="0" distB="0" distL="114300" distR="114300">
            <wp:extent cx="4041140" cy="2110740"/>
            <wp:effectExtent l="0" t="0" r="1016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4041140" cy="2110740"/>
                    </a:xfrm>
                    <a:prstGeom prst="rect">
                      <a:avLst/>
                    </a:prstGeom>
                    <a:noFill/>
                    <a:ln>
                      <a:noFill/>
                    </a:ln>
                  </pic:spPr>
                </pic:pic>
              </a:graphicData>
            </a:graphic>
          </wp:inline>
        </w:drawing>
      </w:r>
    </w:p>
    <w:p w14:paraId="39736F17">
      <w:pPr>
        <w:pStyle w:val="4"/>
        <w:jc w:val="center"/>
        <w:rPr>
          <w:rFonts w:hint="eastAsia" w:ascii="仿宋" w:hAnsi="仿宋" w:eastAsia="仿宋" w:cs="仿宋"/>
          <w:b/>
          <w:bCs/>
          <w:i w:val="0"/>
          <w:strike w:val="0"/>
          <w:color w:val="000000"/>
          <w:sz w:val="32"/>
          <w:u w:val="none"/>
          <w:lang w:val="en-US" w:eastAsia="zh-CN"/>
        </w:rPr>
      </w:pPr>
      <w:r>
        <w:rPr>
          <w:rFonts w:hint="eastAsia" w:ascii="仿宋" w:hAnsi="仿宋" w:eastAsia="仿宋" w:cs="仿宋"/>
          <w:b/>
          <w:bCs/>
          <w:i w:val="0"/>
          <w:strike w:val="0"/>
          <w:color w:val="000000"/>
          <w:sz w:val="24"/>
          <w:szCs w:val="24"/>
          <w:u w:val="none"/>
          <w:lang w:val="en-US" w:eastAsia="zh-CN"/>
        </w:rPr>
        <w:t>图5-3-4期望融入的教学内容</w:t>
      </w:r>
    </w:p>
    <w:p w14:paraId="52A955C3">
      <w:pPr>
        <w:numPr>
          <w:ilvl w:val="0"/>
          <w:numId w:val="0"/>
        </w:numPr>
        <w:snapToGrid/>
        <w:spacing w:before="0" w:after="0" w:line="240" w:lineRule="auto"/>
        <w:ind w:right="0" w:rightChars="0" w:firstLine="643" w:firstLineChars="200"/>
        <w:jc w:val="both"/>
        <w:rPr>
          <w:rFonts w:hint="eastAsia" w:ascii="仿宋" w:hAnsi="仿宋" w:eastAsia="仿宋" w:cs="仿宋"/>
          <w:b/>
          <w:bCs/>
          <w:i w:val="0"/>
          <w:strike w:val="0"/>
          <w:color w:val="000000"/>
          <w:sz w:val="32"/>
          <w:u w:val="none"/>
        </w:rPr>
      </w:pPr>
      <w:r>
        <w:rPr>
          <w:rFonts w:hint="eastAsia" w:ascii="仿宋" w:hAnsi="仿宋" w:eastAsia="仿宋" w:cs="仿宋"/>
          <w:b/>
          <w:bCs/>
          <w:i w:val="0"/>
          <w:strike w:val="0"/>
          <w:color w:val="000000"/>
          <w:sz w:val="32"/>
          <w:u w:val="none"/>
          <w:lang w:val="en-US" w:eastAsia="zh-CN"/>
        </w:rPr>
        <w:t>3.</w:t>
      </w:r>
      <w:r>
        <w:rPr>
          <w:rFonts w:hint="eastAsia" w:ascii="仿宋" w:hAnsi="仿宋" w:eastAsia="仿宋" w:cs="仿宋"/>
          <w:b/>
          <w:bCs/>
          <w:i w:val="0"/>
          <w:strike w:val="0"/>
          <w:color w:val="000000"/>
          <w:sz w:val="32"/>
          <w:u w:val="none"/>
        </w:rPr>
        <w:t>对接职场需求，强化实践环节</w:t>
      </w:r>
    </w:p>
    <w:p w14:paraId="5D6467C9">
      <w:pPr>
        <w:numPr>
          <w:ilvl w:val="0"/>
          <w:numId w:val="0"/>
        </w:numPr>
        <w:snapToGrid/>
        <w:spacing w:before="0" w:after="0" w:line="240" w:lineRule="auto"/>
        <w:ind w:right="0" w:rightChars="0" w:firstLine="640" w:firstLineChars="200"/>
        <w:jc w:val="both"/>
        <w:rPr>
          <w:rFonts w:hint="eastAsia" w:ascii="仿宋" w:hAnsi="仿宋" w:eastAsia="仿宋" w:cs="仿宋"/>
          <w:i w:val="0"/>
          <w:strike w:val="0"/>
          <w:color w:val="000000"/>
          <w:sz w:val="32"/>
          <w:u w:val="none"/>
        </w:rPr>
      </w:pPr>
      <w:r>
        <w:rPr>
          <w:rFonts w:hint="eastAsia" w:ascii="仿宋" w:hAnsi="仿宋" w:eastAsia="仿宋" w:cs="仿宋"/>
          <w:i w:val="0"/>
          <w:strike w:val="0"/>
          <w:color w:val="000000"/>
          <w:sz w:val="32"/>
          <w:u w:val="none"/>
          <w:lang w:val="en-US" w:eastAsia="zh-CN"/>
        </w:rPr>
        <w:t>从调研结果来看看，如图5-3-6所示，学生对提供更多的实习机会和增加实践教学基地的需求最为迫切，需</w:t>
      </w:r>
      <w:r>
        <w:rPr>
          <w:rFonts w:hint="eastAsia" w:ascii="仿宋" w:hAnsi="仿宋" w:eastAsia="仿宋" w:cs="仿宋"/>
          <w:i w:val="0"/>
          <w:strike w:val="0"/>
          <w:color w:val="000000"/>
          <w:sz w:val="32"/>
          <w:u w:val="none"/>
        </w:rPr>
        <w:t>进一步提升实践环节的教学质量与效果。在赛教融合板块，专业相关竞赛活动收获中，国际贸易竞赛和跨境电商类竞赛是学生认为收获最大的竞赛活动，这与专业核心课程设置相契合，说明竞赛活动对学生的专业能力提升有显著作用。</w:t>
      </w:r>
      <w:r>
        <w:rPr>
          <w:rFonts w:hint="eastAsia" w:ascii="仿宋" w:hAnsi="仿宋" w:eastAsia="仿宋" w:cs="仿宋"/>
          <w:i w:val="0"/>
          <w:strike w:val="0"/>
          <w:color w:val="000000"/>
          <w:sz w:val="32"/>
          <w:u w:val="none"/>
          <w:lang w:val="en-US" w:eastAsia="zh-CN"/>
        </w:rPr>
        <w:t>应</w:t>
      </w:r>
      <w:r>
        <w:rPr>
          <w:rFonts w:hint="eastAsia" w:ascii="仿宋" w:hAnsi="仿宋" w:eastAsia="仿宋" w:cs="仿宋"/>
          <w:i w:val="0"/>
          <w:strike w:val="0"/>
          <w:color w:val="000000"/>
          <w:sz w:val="32"/>
          <w:u w:val="none"/>
        </w:rPr>
        <w:t>加强与企业的合作，建立更多优质的校外实习基地，让学生有机会参与到真实的企业项目中，亲身体验工作流程，了解行业规范，从而在实践中深化对理论知识的理解，提升解决实际问题的能力。</w:t>
      </w:r>
    </w:p>
    <w:p w14:paraId="114EA817">
      <w:pPr>
        <w:snapToGrid/>
        <w:spacing w:before="0" w:after="0" w:line="240" w:lineRule="auto"/>
        <w:ind w:left="0" w:right="0" w:firstLine="480" w:firstLineChars="150"/>
        <w:jc w:val="both"/>
      </w:pPr>
      <w:r>
        <w:drawing>
          <wp:inline distT="0" distB="0" distL="114300" distR="114300">
            <wp:extent cx="4770120" cy="2154555"/>
            <wp:effectExtent l="0" t="0" r="508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4770120" cy="2154555"/>
                    </a:xfrm>
                    <a:prstGeom prst="rect">
                      <a:avLst/>
                    </a:prstGeom>
                    <a:noFill/>
                    <a:ln>
                      <a:noFill/>
                    </a:ln>
                  </pic:spPr>
                </pic:pic>
              </a:graphicData>
            </a:graphic>
          </wp:inline>
        </w:drawing>
      </w:r>
    </w:p>
    <w:p w14:paraId="1942E264">
      <w:pPr>
        <w:pStyle w:val="4"/>
        <w:jc w:val="center"/>
        <w:rPr>
          <w:rFonts w:hint="default"/>
          <w:lang w:val="en-US"/>
        </w:rPr>
      </w:pPr>
      <w:r>
        <w:rPr>
          <w:rFonts w:hint="eastAsia" w:ascii="仿宋" w:hAnsi="仿宋" w:eastAsia="仿宋" w:cs="仿宋"/>
          <w:b/>
          <w:bCs/>
          <w:i w:val="0"/>
          <w:strike w:val="0"/>
          <w:color w:val="000000"/>
          <w:sz w:val="24"/>
          <w:szCs w:val="24"/>
          <w:u w:val="none"/>
          <w:lang w:val="en-US" w:eastAsia="zh-CN"/>
        </w:rPr>
        <w:t>图5-3-5实践教学改进方式上</w:t>
      </w:r>
    </w:p>
    <w:p w14:paraId="6ECE243F">
      <w:pPr>
        <w:numPr>
          <w:ilvl w:val="0"/>
          <w:numId w:val="5"/>
        </w:numPr>
        <w:spacing w:line="560" w:lineRule="exact"/>
        <w:ind w:firstLine="643" w:firstLineChars="200"/>
        <w:rPr>
          <w:b/>
          <w:bCs/>
          <w:color w:val="000000"/>
          <w:szCs w:val="32"/>
          <w:lang w:val="zh-CN"/>
        </w:rPr>
      </w:pPr>
      <w:r>
        <w:rPr>
          <w:b/>
          <w:bCs/>
          <w:color w:val="000000"/>
          <w:szCs w:val="32"/>
          <w:lang w:val="zh-CN"/>
        </w:rPr>
        <w:t>加强学业规划指导，助力学生成长</w:t>
      </w:r>
    </w:p>
    <w:p w14:paraId="6466CA32">
      <w:pPr>
        <w:numPr>
          <w:ilvl w:val="0"/>
          <w:numId w:val="0"/>
        </w:numPr>
        <w:spacing w:line="560" w:lineRule="exact"/>
        <w:ind w:firstLine="640" w:firstLineChars="200"/>
        <w:rPr>
          <w:rFonts w:hint="eastAsia" w:ascii="仿宋" w:hAnsi="仿宋" w:eastAsia="仿宋" w:cs="仿宋"/>
          <w:i w:val="0"/>
          <w:strike w:val="0"/>
          <w:color w:val="000000"/>
          <w:sz w:val="32"/>
          <w:u w:val="none"/>
        </w:rPr>
      </w:pPr>
      <w:r>
        <w:rPr>
          <w:color w:val="000000"/>
          <w:szCs w:val="32"/>
          <w:lang w:val="zh-CN"/>
        </w:rPr>
        <w:t>面对日益激烈的就业竞争与升学压力，</w:t>
      </w:r>
      <w:r>
        <w:rPr>
          <w:rFonts w:hint="eastAsia"/>
          <w:color w:val="000000"/>
          <w:szCs w:val="32"/>
          <w:lang w:val="zh-CN"/>
        </w:rPr>
        <w:t>学生希望获得</w:t>
      </w:r>
      <w:r>
        <w:rPr>
          <w:color w:val="000000"/>
          <w:szCs w:val="32"/>
          <w:lang w:val="zh-CN"/>
        </w:rPr>
        <w:t>在考证选择、</w:t>
      </w:r>
      <w:r>
        <w:rPr>
          <w:rFonts w:hint="eastAsia"/>
          <w:color w:val="000000"/>
          <w:szCs w:val="32"/>
          <w:lang w:val="en-US" w:eastAsia="zh-CN"/>
        </w:rPr>
        <w:t>提升学历</w:t>
      </w:r>
      <w:r>
        <w:rPr>
          <w:color w:val="000000"/>
          <w:szCs w:val="32"/>
          <w:lang w:val="zh-CN"/>
        </w:rPr>
        <w:t>路径规划、参赛准备等方面</w:t>
      </w:r>
      <w:r>
        <w:rPr>
          <w:rFonts w:hint="eastAsia"/>
          <w:color w:val="000000"/>
          <w:szCs w:val="32"/>
          <w:lang w:val="zh-CN"/>
        </w:rPr>
        <w:t>的</w:t>
      </w:r>
      <w:r>
        <w:rPr>
          <w:color w:val="000000"/>
          <w:szCs w:val="32"/>
          <w:lang w:val="zh-CN"/>
        </w:rPr>
        <w:t>专业指引与全面支持。建立完善的学业规划指导体系，邀请行业专家、优秀校友等为学生举办专题讲座，分享经验心得，帮助学生明确个人定位与发展目标。</w:t>
      </w:r>
    </w:p>
    <w:p w14:paraId="2CF87855">
      <w:pPr>
        <w:pStyle w:val="4"/>
        <w:ind w:firstLine="643"/>
        <w:rPr>
          <w:rFonts w:hint="eastAsia" w:ascii="仿宋" w:hAnsi="仿宋" w:eastAsia="仿宋"/>
          <w:b/>
          <w:sz w:val="32"/>
          <w:szCs w:val="32"/>
          <w:highlight w:val="yellow"/>
          <w:lang w:eastAsia="zh-CN"/>
        </w:rPr>
      </w:pPr>
      <w:r>
        <w:rPr>
          <w:rFonts w:hint="eastAsia" w:ascii="仿宋" w:hAnsi="仿宋" w:eastAsia="仿宋"/>
          <w:b/>
          <w:sz w:val="32"/>
          <w:szCs w:val="32"/>
        </w:rPr>
        <w:t>（四）</w:t>
      </w:r>
      <w:r>
        <w:rPr>
          <w:rFonts w:hint="eastAsia" w:ascii="仿宋" w:hAnsi="仿宋" w:eastAsia="仿宋"/>
          <w:b/>
          <w:sz w:val="32"/>
          <w:szCs w:val="32"/>
          <w:lang w:eastAsia="zh-CN"/>
        </w:rPr>
        <w:t>中职人才培养方案特点</w:t>
      </w:r>
    </w:p>
    <w:p w14:paraId="0994B755">
      <w:pPr>
        <w:widowControl/>
        <w:spacing w:after="0" w:line="240" w:lineRule="auto"/>
        <w:ind w:firstLine="480"/>
        <w:jc w:val="both"/>
        <w:rPr>
          <w:rFonts w:hint="eastAsia" w:ascii="Calibri" w:hAnsi="Calibri" w:eastAsia="仿宋" w:cs="Calibri"/>
          <w:color w:val="000000"/>
          <w:kern w:val="0"/>
          <w:sz w:val="32"/>
          <w:szCs w:val="32"/>
          <w:lang w:val="en-US" w:eastAsia="zh-CN"/>
          <w14:ligatures w14:val="none"/>
        </w:rPr>
      </w:pPr>
      <w:r>
        <w:rPr>
          <w:rFonts w:hint="eastAsia" w:ascii="Calibri" w:hAnsi="Calibri" w:eastAsia="仿宋" w:cs="Calibri"/>
          <w:b w:val="0"/>
          <w:bCs w:val="0"/>
          <w:color w:val="000000"/>
          <w:kern w:val="0"/>
          <w:sz w:val="32"/>
          <w:szCs w:val="32"/>
          <w14:ligatures w14:val="none"/>
        </w:rPr>
        <w:t>2021年及2025年 教育</w:t>
      </w:r>
      <w:r>
        <w:rPr>
          <w:rFonts w:hint="eastAsia" w:ascii="Calibri" w:hAnsi="Calibri" w:eastAsia="仿宋" w:cs="Calibri"/>
          <w:color w:val="000000"/>
          <w:kern w:val="0"/>
          <w:sz w:val="32"/>
          <w:szCs w:val="32"/>
          <w14:ligatures w14:val="none"/>
        </w:rPr>
        <w:t>部中等职业教育专业教学标准中未设置国际经济与贸易专业，设置有相近专业国际商务。调研中了解到广西几乎所有的中职学校都没有设置国际商务专业，</w:t>
      </w:r>
      <w:r>
        <w:rPr>
          <w:rFonts w:hint="eastAsia" w:ascii="Calibri" w:hAnsi="Calibri" w:eastAsia="仿宋" w:cs="Calibri"/>
          <w:color w:val="000000"/>
          <w:kern w:val="0"/>
          <w:sz w:val="32"/>
          <w:szCs w:val="32"/>
          <w:lang w:val="en-US" w:eastAsia="zh-CN"/>
          <w14:ligatures w14:val="none"/>
        </w:rPr>
        <w:t>但广西工商学校、广西银行学校和广西物资学校都有相近的电子商务专业，这三所中职学校</w:t>
      </w:r>
      <w:r>
        <w:rPr>
          <w:rFonts w:hint="eastAsia" w:ascii="Calibri" w:hAnsi="Calibri" w:eastAsia="仿宋" w:cs="Calibri"/>
          <w:color w:val="000000"/>
          <w:kern w:val="0"/>
          <w:sz w:val="32"/>
          <w:szCs w:val="32"/>
          <w14:ligatures w14:val="none"/>
        </w:rPr>
        <w:t>人培方案</w:t>
      </w:r>
      <w:r>
        <w:rPr>
          <w:rFonts w:hint="eastAsia" w:ascii="Calibri" w:hAnsi="Calibri" w:eastAsia="仿宋" w:cs="Calibri"/>
          <w:color w:val="000000"/>
          <w:kern w:val="0"/>
          <w:sz w:val="32"/>
          <w:szCs w:val="32"/>
          <w:lang w:eastAsia="zh-CN"/>
          <w14:ligatures w14:val="none"/>
        </w:rPr>
        <w:t>的</w:t>
      </w:r>
      <w:r>
        <w:rPr>
          <w:rFonts w:hint="eastAsia" w:ascii="Calibri" w:hAnsi="Calibri" w:eastAsia="仿宋" w:cs="Calibri"/>
          <w:color w:val="000000"/>
          <w:kern w:val="0"/>
          <w:sz w:val="32"/>
          <w:szCs w:val="32"/>
          <w:lang w:val="en-US" w:eastAsia="zh-CN"/>
          <w14:ligatures w14:val="none"/>
        </w:rPr>
        <w:t>特点有：</w:t>
      </w:r>
    </w:p>
    <w:p w14:paraId="2258B2E7">
      <w:pPr>
        <w:widowControl/>
        <w:spacing w:after="0" w:line="240" w:lineRule="auto"/>
        <w:ind w:firstLine="480"/>
        <w:jc w:val="both"/>
        <w:rPr>
          <w:rFonts w:hint="eastAsia" w:ascii="Calibri" w:hAnsi="Calibri" w:eastAsia="仿宋" w:cs="Calibri"/>
          <w:color w:val="000000"/>
          <w:kern w:val="0"/>
          <w:sz w:val="32"/>
          <w:szCs w:val="32"/>
          <w:lang w:val="en-US" w:eastAsia="zh-CN"/>
          <w14:ligatures w14:val="none"/>
        </w:rPr>
      </w:pPr>
      <w:r>
        <w:rPr>
          <w:rFonts w:hint="eastAsia" w:ascii="Calibri" w:hAnsi="Calibri" w:eastAsia="仿宋" w:cs="Calibri"/>
          <w:color w:val="000000"/>
          <w:kern w:val="0"/>
          <w:sz w:val="32"/>
          <w:szCs w:val="32"/>
          <w:lang w:val="en-US" w:eastAsia="zh-CN"/>
          <w14:ligatures w14:val="none"/>
        </w:rPr>
        <w:t>1.强化基础教育</w:t>
      </w:r>
    </w:p>
    <w:p w14:paraId="3D49CBAD">
      <w:pPr>
        <w:widowControl/>
        <w:spacing w:after="0" w:line="240" w:lineRule="auto"/>
        <w:ind w:firstLine="480"/>
        <w:jc w:val="both"/>
        <w:rPr>
          <w:rFonts w:hint="eastAsia" w:ascii="Calibri" w:hAnsi="Calibri" w:eastAsia="仿宋" w:cs="Calibri"/>
          <w:color w:val="000000"/>
          <w:kern w:val="0"/>
          <w:sz w:val="32"/>
          <w:szCs w:val="32"/>
          <w:lang w:val="en-US" w:eastAsia="zh-CN"/>
          <w14:ligatures w14:val="none"/>
        </w:rPr>
      </w:pPr>
      <w:r>
        <w:rPr>
          <w:rFonts w:hint="eastAsia" w:ascii="Calibri" w:hAnsi="Calibri" w:eastAsia="仿宋" w:cs="Calibri"/>
          <w:color w:val="000000"/>
          <w:kern w:val="0"/>
          <w:sz w:val="32"/>
          <w:szCs w:val="32"/>
          <w:lang w:val="en-US" w:eastAsia="zh-CN"/>
          <w14:ligatures w14:val="none"/>
        </w:rPr>
        <w:t>三所学校的公共基础课程占比合理，包括思想政治、语文、数学、英语等，为学生提供了必要的文化知识基础。这对于中职学生来说，既能提升综合素质，又能为未来的职业发展和个人成长奠定基础。</w:t>
      </w:r>
    </w:p>
    <w:p w14:paraId="61014ACD">
      <w:pPr>
        <w:widowControl/>
        <w:spacing w:after="0" w:line="240" w:lineRule="auto"/>
        <w:ind w:firstLine="480"/>
        <w:jc w:val="both"/>
        <w:rPr>
          <w:rFonts w:hint="eastAsia" w:ascii="Calibri" w:hAnsi="Calibri" w:eastAsia="仿宋" w:cs="Calibri"/>
          <w:color w:val="000000"/>
          <w:kern w:val="0"/>
          <w:sz w:val="32"/>
          <w:szCs w:val="32"/>
          <w:lang w:val="en-US" w:eastAsia="zh-CN"/>
          <w14:ligatures w14:val="none"/>
        </w:rPr>
      </w:pPr>
      <w:r>
        <w:rPr>
          <w:rFonts w:hint="eastAsia" w:ascii="Calibri" w:hAnsi="Calibri" w:eastAsia="仿宋" w:cs="Calibri"/>
          <w:color w:val="000000"/>
          <w:kern w:val="0"/>
          <w:sz w:val="32"/>
          <w:szCs w:val="32"/>
          <w:lang w:val="en-US" w:eastAsia="zh-CN"/>
          <w14:ligatures w14:val="none"/>
        </w:rPr>
        <w:t xml:space="preserve"> 2.注重职业技能培养</w:t>
      </w:r>
    </w:p>
    <w:p w14:paraId="5D5AE95D">
      <w:pPr>
        <w:widowControl/>
        <w:spacing w:after="0" w:line="240" w:lineRule="auto"/>
        <w:ind w:firstLine="480"/>
        <w:jc w:val="both"/>
        <w:rPr>
          <w:rFonts w:hint="eastAsia" w:ascii="Calibri" w:hAnsi="Calibri" w:eastAsia="仿宋" w:cs="Calibri"/>
          <w:color w:val="000000"/>
          <w:kern w:val="0"/>
          <w:sz w:val="32"/>
          <w:szCs w:val="32"/>
          <w:lang w:val="en-US" w:eastAsia="zh-CN"/>
          <w14:ligatures w14:val="none"/>
        </w:rPr>
      </w:pPr>
      <w:r>
        <w:rPr>
          <w:rFonts w:hint="eastAsia" w:ascii="Calibri" w:hAnsi="Calibri" w:eastAsia="仿宋" w:cs="Calibri"/>
          <w:color w:val="000000"/>
          <w:kern w:val="0"/>
          <w:sz w:val="32"/>
          <w:szCs w:val="32"/>
          <w:lang w:val="en-US" w:eastAsia="zh-CN"/>
          <w14:ligatures w14:val="none"/>
        </w:rPr>
        <w:t xml:space="preserve"> 课程与职业对接紧密，课程设置直接对接职业岗位需求，如直播销售、网店运营、视觉设计等，学生毕业后能够快速适应工作岗位，满足企业对中职毕业生的实际需求。</w:t>
      </w:r>
    </w:p>
    <w:p w14:paraId="0C923BC7">
      <w:pPr>
        <w:widowControl/>
        <w:spacing w:after="0" w:line="240" w:lineRule="auto"/>
        <w:ind w:firstLine="800" w:firstLineChars="250"/>
        <w:jc w:val="both"/>
        <w:rPr>
          <w:rFonts w:hint="default" w:ascii="Calibri" w:hAnsi="Calibri" w:eastAsia="仿宋" w:cs="Calibri"/>
          <w:color w:val="000000"/>
          <w:kern w:val="0"/>
          <w:sz w:val="32"/>
          <w:szCs w:val="32"/>
          <w:lang w:val="en-US" w:eastAsia="zh-CN"/>
          <w14:ligatures w14:val="none"/>
        </w:rPr>
      </w:pPr>
      <w:r>
        <w:rPr>
          <w:rFonts w:hint="eastAsia" w:ascii="Calibri" w:hAnsi="Calibri" w:eastAsia="仿宋" w:cs="Calibri"/>
          <w:color w:val="000000"/>
          <w:kern w:val="0"/>
          <w:sz w:val="32"/>
          <w:szCs w:val="32"/>
          <w:lang w:val="en-US" w:eastAsia="zh-CN"/>
          <w14:ligatures w14:val="none"/>
        </w:rPr>
        <w:t>3.发挥职业启蒙与引导</w:t>
      </w:r>
      <w:bookmarkStart w:id="17" w:name="_GoBack"/>
      <w:bookmarkEnd w:id="17"/>
      <w:r>
        <w:rPr>
          <w:rFonts w:hint="eastAsia" w:ascii="Calibri" w:hAnsi="Calibri" w:eastAsia="仿宋" w:cs="Calibri"/>
          <w:color w:val="000000"/>
          <w:kern w:val="0"/>
          <w:sz w:val="32"/>
          <w:szCs w:val="32"/>
          <w:lang w:val="en-US" w:eastAsia="zh-CN"/>
          <w14:ligatures w14:val="none"/>
        </w:rPr>
        <w:t>作用</w:t>
      </w:r>
    </w:p>
    <w:p w14:paraId="7B4810E5">
      <w:pPr>
        <w:widowControl/>
        <w:spacing w:after="0" w:line="240" w:lineRule="auto"/>
        <w:ind w:firstLine="480"/>
        <w:jc w:val="both"/>
        <w:rPr>
          <w:rFonts w:hint="eastAsia" w:ascii="Calibri" w:hAnsi="Calibri" w:eastAsia="仿宋" w:cs="Calibri"/>
          <w:color w:val="000000"/>
          <w:kern w:val="0"/>
          <w:sz w:val="32"/>
          <w:szCs w:val="32"/>
          <w:lang w:val="en-US" w:eastAsia="zh-CN"/>
          <w14:ligatures w14:val="none"/>
        </w:rPr>
      </w:pPr>
      <w:r>
        <w:rPr>
          <w:rFonts w:hint="eastAsia" w:ascii="Calibri" w:hAnsi="Calibri" w:eastAsia="仿宋" w:cs="Calibri"/>
          <w:color w:val="000000"/>
          <w:kern w:val="0"/>
          <w:sz w:val="32"/>
          <w:szCs w:val="32"/>
          <w:lang w:val="en-US" w:eastAsia="zh-CN"/>
          <w14:ligatures w14:val="none"/>
        </w:rPr>
        <w:t xml:space="preserve"> 通过公共基础课程和专业基础课程的设置，帮助学生逐步了解电子商务行业，引导学生树立职业理想，为未来的职业发展做好准备。</w:t>
      </w:r>
    </w:p>
    <w:p w14:paraId="19DF9D93">
      <w:pPr>
        <w:pStyle w:val="4"/>
        <w:numPr>
          <w:ilvl w:val="0"/>
          <w:numId w:val="0"/>
        </w:numPr>
        <w:ind w:leftChars="200"/>
        <w:rPr>
          <w:rFonts w:hint="eastAsia" w:ascii="仿宋" w:hAnsi="仿宋" w:eastAsia="仿宋"/>
          <w:b/>
          <w:sz w:val="32"/>
          <w:szCs w:val="32"/>
        </w:rPr>
      </w:pPr>
      <w:r>
        <w:rPr>
          <w:rFonts w:hint="eastAsia" w:ascii="仿宋" w:hAnsi="仿宋" w:eastAsia="仿宋"/>
          <w:b/>
          <w:sz w:val="32"/>
          <w:szCs w:val="32"/>
          <w:lang w:eastAsia="zh-CN"/>
        </w:rPr>
        <w:t>（</w:t>
      </w:r>
      <w:r>
        <w:rPr>
          <w:rFonts w:hint="eastAsia" w:ascii="仿宋" w:hAnsi="仿宋" w:eastAsia="仿宋"/>
          <w:b/>
          <w:sz w:val="32"/>
          <w:szCs w:val="32"/>
          <w:lang w:val="en-US" w:eastAsia="zh-CN"/>
        </w:rPr>
        <w:t>五</w:t>
      </w:r>
      <w:r>
        <w:rPr>
          <w:rFonts w:hint="eastAsia" w:ascii="仿宋" w:hAnsi="仿宋" w:eastAsia="仿宋"/>
          <w:b/>
          <w:sz w:val="32"/>
          <w:szCs w:val="32"/>
          <w:lang w:eastAsia="zh-CN"/>
        </w:rPr>
        <w:t>）专科</w:t>
      </w:r>
      <w:r>
        <w:rPr>
          <w:rFonts w:hint="eastAsia" w:ascii="仿宋" w:hAnsi="仿宋" w:eastAsia="仿宋"/>
          <w:b/>
          <w:sz w:val="32"/>
          <w:szCs w:val="32"/>
        </w:rPr>
        <w:t>人才培养方案的特点</w:t>
      </w:r>
    </w:p>
    <w:p w14:paraId="521354C0">
      <w:pPr>
        <w:pStyle w:val="4"/>
        <w:numPr>
          <w:ilvl w:val="0"/>
          <w:numId w:val="0"/>
        </w:numPr>
        <w:ind w:firstLine="640" w:firstLineChars="200"/>
        <w:rPr>
          <w:rFonts w:hint="eastAsia" w:ascii="仿宋" w:hAnsi="仿宋" w:eastAsia="仿宋"/>
          <w:b w:val="0"/>
          <w:bCs/>
          <w:sz w:val="32"/>
          <w:szCs w:val="32"/>
        </w:rPr>
      </w:pPr>
      <w:r>
        <w:rPr>
          <w:rFonts w:hint="eastAsia" w:ascii="仿宋" w:hAnsi="仿宋" w:eastAsia="仿宋"/>
          <w:b w:val="0"/>
          <w:bCs/>
          <w:sz w:val="32"/>
          <w:szCs w:val="32"/>
        </w:rPr>
        <w:t>1. 国际化合作办学增强</w:t>
      </w:r>
    </w:p>
    <w:p w14:paraId="50371823">
      <w:pPr>
        <w:pStyle w:val="4"/>
        <w:numPr>
          <w:ilvl w:val="0"/>
          <w:numId w:val="0"/>
        </w:numPr>
        <w:ind w:firstLine="640" w:firstLineChars="200"/>
        <w:rPr>
          <w:rFonts w:hint="eastAsia" w:ascii="仿宋" w:hAnsi="仿宋" w:eastAsia="仿宋"/>
          <w:b w:val="0"/>
          <w:bCs/>
          <w:sz w:val="32"/>
          <w:szCs w:val="32"/>
        </w:rPr>
      </w:pPr>
      <w:r>
        <w:rPr>
          <w:rFonts w:hint="eastAsia" w:ascii="仿宋" w:hAnsi="仿宋" w:eastAsia="仿宋"/>
          <w:b w:val="0"/>
          <w:bCs/>
          <w:sz w:val="32"/>
          <w:szCs w:val="32"/>
        </w:rPr>
        <w:t>高水平职业院校近年来显著加强了与东南亚国家及港澳台地区的合作办学力度，从以引入国外教育资源为主的模式，发展到优质教学资源的输出，专业的国际化水平进一步提升。</w:t>
      </w:r>
    </w:p>
    <w:p w14:paraId="781E2E32">
      <w:pPr>
        <w:pStyle w:val="4"/>
        <w:numPr>
          <w:ilvl w:val="0"/>
          <w:numId w:val="0"/>
        </w:numPr>
        <w:ind w:firstLine="640" w:firstLineChars="200"/>
        <w:rPr>
          <w:rFonts w:hint="eastAsia" w:ascii="仿宋" w:hAnsi="仿宋" w:eastAsia="仿宋"/>
          <w:b w:val="0"/>
          <w:bCs/>
          <w:sz w:val="32"/>
          <w:szCs w:val="32"/>
        </w:rPr>
      </w:pPr>
      <w:r>
        <w:rPr>
          <w:rFonts w:hint="eastAsia" w:ascii="仿宋" w:hAnsi="仿宋" w:eastAsia="仿宋"/>
          <w:b w:val="0"/>
          <w:bCs/>
          <w:sz w:val="32"/>
          <w:szCs w:val="32"/>
        </w:rPr>
        <w:t>2. 课程体系科学且注重实践</w:t>
      </w:r>
    </w:p>
    <w:p w14:paraId="425F05AF">
      <w:pPr>
        <w:pStyle w:val="4"/>
        <w:numPr>
          <w:ilvl w:val="0"/>
          <w:numId w:val="0"/>
        </w:numPr>
        <w:ind w:firstLine="640" w:firstLineChars="200"/>
        <w:rPr>
          <w:rFonts w:hint="eastAsia" w:ascii="仿宋" w:hAnsi="仿宋" w:eastAsia="仿宋"/>
          <w:b w:val="0"/>
          <w:bCs/>
          <w:sz w:val="32"/>
          <w:szCs w:val="32"/>
        </w:rPr>
      </w:pPr>
      <w:r>
        <w:rPr>
          <w:rFonts w:hint="eastAsia" w:ascii="仿宋" w:hAnsi="仿宋" w:eastAsia="仿宋"/>
          <w:b w:val="0"/>
          <w:bCs/>
          <w:sz w:val="32"/>
          <w:szCs w:val="32"/>
        </w:rPr>
        <w:t>课程体系清晰分为公共基础课、专业基础课、专业核心课和专业选修课，既强调基础知识的学习，又注重专业技能的培养。各院校专业的核心课程设置高度一致，如国际贸易实务、跨境电商实务、国际货运代理实务等，反映了行业对核心技能的需求。选修课比重增加，内容侧重于专业技能辅助及区域特色课程（如东盟小语种、广西区域经济发展），增强了学生的就业竞争力。</w:t>
      </w:r>
    </w:p>
    <w:p w14:paraId="3D831B57">
      <w:pPr>
        <w:pStyle w:val="4"/>
        <w:numPr>
          <w:ilvl w:val="0"/>
          <w:numId w:val="0"/>
        </w:numPr>
        <w:ind w:leftChars="200"/>
        <w:rPr>
          <w:rFonts w:hint="eastAsia" w:ascii="仿宋" w:hAnsi="仿宋" w:eastAsia="仿宋"/>
          <w:b w:val="0"/>
          <w:bCs/>
          <w:sz w:val="32"/>
          <w:szCs w:val="32"/>
        </w:rPr>
      </w:pPr>
      <w:r>
        <w:rPr>
          <w:rFonts w:hint="eastAsia" w:ascii="仿宋" w:hAnsi="仿宋" w:eastAsia="仿宋"/>
          <w:b w:val="0"/>
          <w:bCs/>
          <w:sz w:val="32"/>
          <w:szCs w:val="32"/>
        </w:rPr>
        <w:t>3. 实践教学占比高，产教融合形式多样</w:t>
      </w:r>
    </w:p>
    <w:p w14:paraId="2AA18350">
      <w:pPr>
        <w:pStyle w:val="4"/>
        <w:numPr>
          <w:ilvl w:val="0"/>
          <w:numId w:val="0"/>
        </w:numPr>
        <w:ind w:firstLine="640" w:firstLineChars="200"/>
        <w:rPr>
          <w:rFonts w:hint="eastAsia" w:ascii="仿宋" w:hAnsi="仿宋" w:eastAsia="仿宋"/>
          <w:b w:val="0"/>
          <w:bCs/>
          <w:sz w:val="32"/>
          <w:szCs w:val="32"/>
        </w:rPr>
      </w:pPr>
      <w:r>
        <w:rPr>
          <w:rFonts w:hint="eastAsia" w:ascii="仿宋" w:hAnsi="仿宋" w:eastAsia="仿宋"/>
          <w:b w:val="0"/>
          <w:bCs/>
          <w:sz w:val="32"/>
          <w:szCs w:val="32"/>
        </w:rPr>
        <w:t>实践课时占比高达50-60%，远超普通本科院校，体现了职业院校对实践能力的重视。校内实训室数量增加，为学生提供了优质的实训条件。尽管实训软件配置有待提升，但整体实训资源丰富。校企合作形式多样，订单培养、现代学徒制及合作开发课程教材资源库等模式应用广泛，有效促进了产教融合。</w:t>
      </w:r>
    </w:p>
    <w:p w14:paraId="294BB90A">
      <w:pPr>
        <w:pStyle w:val="4"/>
        <w:numPr>
          <w:ilvl w:val="0"/>
          <w:numId w:val="0"/>
        </w:numPr>
        <w:ind w:leftChars="200"/>
        <w:rPr>
          <w:rFonts w:hint="eastAsia" w:ascii="仿宋" w:hAnsi="仿宋" w:eastAsia="仿宋"/>
          <w:b w:val="0"/>
          <w:bCs/>
          <w:sz w:val="32"/>
          <w:szCs w:val="32"/>
        </w:rPr>
      </w:pPr>
      <w:r>
        <w:rPr>
          <w:rFonts w:hint="eastAsia" w:ascii="仿宋" w:hAnsi="仿宋" w:eastAsia="仿宋"/>
          <w:b w:val="0"/>
          <w:bCs/>
          <w:sz w:val="32"/>
          <w:szCs w:val="32"/>
        </w:rPr>
        <w:t>4. 证书导向明显，技能竞赛成绩突出</w:t>
      </w:r>
    </w:p>
    <w:p w14:paraId="01AC2400">
      <w:pPr>
        <w:pStyle w:val="4"/>
        <w:numPr>
          <w:ilvl w:val="0"/>
          <w:numId w:val="0"/>
        </w:numPr>
        <w:ind w:firstLine="640" w:firstLineChars="200"/>
        <w:rPr>
          <w:rFonts w:hint="eastAsia" w:ascii="仿宋" w:hAnsi="仿宋" w:eastAsia="仿宋"/>
          <w:b w:val="0"/>
          <w:bCs/>
          <w:sz w:val="32"/>
          <w:szCs w:val="32"/>
        </w:rPr>
      </w:pPr>
      <w:r>
        <w:rPr>
          <w:rFonts w:hint="eastAsia" w:ascii="仿宋" w:hAnsi="仿宋" w:eastAsia="仿宋"/>
          <w:b w:val="0"/>
          <w:bCs/>
          <w:sz w:val="32"/>
          <w:szCs w:val="32"/>
        </w:rPr>
        <w:t>学生在专业1+X等级证书上的获得比率显著高于普通本科院校，体现了职业院校在专业技能培养上的优势。相比之下，英语和计算机等基础证书的获得率较低。各院校在人才培养方案中较普通本科院校更注重赛教融合，学生在各级各类技能竞赛中表现出更高的积极性，并取得了优异成绩。</w:t>
      </w:r>
    </w:p>
    <w:p w14:paraId="05762F61">
      <w:pPr>
        <w:pStyle w:val="4"/>
        <w:numPr>
          <w:ilvl w:val="0"/>
          <w:numId w:val="0"/>
        </w:numPr>
        <w:ind w:leftChars="200"/>
        <w:rPr>
          <w:rFonts w:hint="eastAsia" w:ascii="仿宋" w:hAnsi="仿宋" w:eastAsia="仿宋"/>
          <w:b w:val="0"/>
          <w:bCs/>
          <w:sz w:val="32"/>
          <w:szCs w:val="32"/>
        </w:rPr>
      </w:pPr>
      <w:r>
        <w:rPr>
          <w:rFonts w:hint="eastAsia" w:ascii="仿宋" w:hAnsi="仿宋" w:eastAsia="仿宋"/>
          <w:b w:val="0"/>
          <w:bCs/>
          <w:sz w:val="32"/>
          <w:szCs w:val="32"/>
        </w:rPr>
        <w:t>5. 持续改革与创新</w:t>
      </w:r>
    </w:p>
    <w:p w14:paraId="70E0BF55">
      <w:pPr>
        <w:pStyle w:val="4"/>
        <w:numPr>
          <w:ilvl w:val="0"/>
          <w:numId w:val="0"/>
        </w:numPr>
        <w:ind w:firstLine="640" w:firstLineChars="200"/>
        <w:rPr>
          <w:rFonts w:hint="eastAsia" w:ascii="仿宋" w:hAnsi="仿宋" w:eastAsia="仿宋"/>
          <w:b/>
          <w:sz w:val="32"/>
          <w:szCs w:val="32"/>
        </w:rPr>
      </w:pPr>
      <w:r>
        <w:rPr>
          <w:rFonts w:hint="eastAsia" w:ascii="仿宋" w:hAnsi="仿宋" w:eastAsia="仿宋"/>
          <w:b w:val="0"/>
          <w:bCs/>
          <w:sz w:val="32"/>
          <w:szCs w:val="32"/>
        </w:rPr>
        <w:t>针对校企合作不深入、实践项目少、教师素质待提升等问题，各院校提出了一系列改革措施。坚持立德树人，融入劳动教育和工匠精神，注重学生综合素质的培养。强调信息技术的应用，优化人才培养模式，提升教学效果。</w:t>
      </w:r>
    </w:p>
    <w:p w14:paraId="151221E6">
      <w:pPr>
        <w:pStyle w:val="4"/>
        <w:numPr>
          <w:ilvl w:val="0"/>
          <w:numId w:val="0"/>
        </w:numPr>
        <w:ind w:leftChars="200"/>
        <w:rPr>
          <w:rFonts w:hint="eastAsia" w:ascii="仿宋" w:hAnsi="仿宋" w:eastAsia="仿宋"/>
          <w:b/>
          <w:sz w:val="32"/>
          <w:szCs w:val="32"/>
          <w:highlight w:val="yellow"/>
          <w:lang w:eastAsia="zh-CN"/>
        </w:rPr>
      </w:pPr>
      <w:r>
        <w:rPr>
          <w:rFonts w:hint="eastAsia" w:ascii="仿宋" w:hAnsi="仿宋" w:eastAsia="仿宋"/>
          <w:b/>
          <w:sz w:val="32"/>
          <w:szCs w:val="32"/>
        </w:rPr>
        <w:t>（</w:t>
      </w:r>
      <w:r>
        <w:rPr>
          <w:rFonts w:hint="eastAsia" w:ascii="仿宋" w:hAnsi="仿宋" w:eastAsia="仿宋"/>
          <w:b/>
          <w:sz w:val="32"/>
          <w:szCs w:val="32"/>
          <w:lang w:eastAsia="zh-CN"/>
        </w:rPr>
        <w:t>六</w:t>
      </w:r>
      <w:r>
        <w:rPr>
          <w:rFonts w:hint="eastAsia" w:ascii="仿宋" w:hAnsi="仿宋" w:eastAsia="仿宋"/>
          <w:b/>
          <w:sz w:val="32"/>
          <w:szCs w:val="32"/>
        </w:rPr>
        <w:t>）</w:t>
      </w:r>
      <w:r>
        <w:rPr>
          <w:rFonts w:hint="eastAsia" w:ascii="仿宋" w:hAnsi="仿宋" w:eastAsia="仿宋"/>
          <w:b/>
          <w:sz w:val="32"/>
          <w:szCs w:val="32"/>
          <w:lang w:eastAsia="zh-CN"/>
        </w:rPr>
        <w:t>职业</w:t>
      </w:r>
      <w:r>
        <w:rPr>
          <w:rFonts w:hint="eastAsia" w:ascii="仿宋" w:hAnsi="仿宋" w:eastAsia="仿宋"/>
          <w:b/>
          <w:sz w:val="32"/>
          <w:szCs w:val="32"/>
        </w:rPr>
        <w:t>本科人才培养方案特点</w:t>
      </w:r>
    </w:p>
    <w:p w14:paraId="7525D955">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1.培养方案制定依据明确，规范性强</w:t>
      </w:r>
    </w:p>
    <w:p w14:paraId="2F21D2E0">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在职业本科国际经济与贸易专业的人才培养方案制定过程中，各院校均以教育部颁布的《职业教育专业简介（2022年修订）》和《国际经济与贸易专业教学标准（高等职业教育本科）》为主要依据，以确保培养方案在课程体系、教学内容和实践安排等方面的规范性。</w:t>
      </w:r>
    </w:p>
    <w:p w14:paraId="0B228C29">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2.注重复合型人才培养，突出国际化与数字化导向</w:t>
      </w:r>
    </w:p>
    <w:p w14:paraId="3D24AC16">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受调研院校的国贸专业致力于培养具备国际视野、跨文化沟通能力和数字化素养的国际商务复合型人才。学生不仅要掌握国际贸易相关的基础理论与专业知识，还需具备国际市场营销、贸易风险管理、跨境电商运营、国际货物运输代理、报关报检、企业经营管理等多方面的综合能力。这种目标定位体现了职业本科教育面向现代国际商务需求的应用导向特征。</w:t>
      </w:r>
    </w:p>
    <w:p w14:paraId="329809B6">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3.课程体系结构合理，突出实践应用</w:t>
      </w:r>
    </w:p>
    <w:p w14:paraId="7F2B82BD">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课程体系按照国家专业教学标准进行设置，专业课程分为专业基础课程和专业核心课程。基础课程主要包括经济学、管理学、国际贸易学等，为学生提供必要的理论支撑；核心课程包括国际贸易实务、外贸单证实务、外贸跟单实务、跨境电商实务、国际货运代理实务、通关实务等，强调实际业务场景应用，助力学生形成专业应用能力。</w:t>
      </w:r>
    </w:p>
    <w:p w14:paraId="69934B1B">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4.实训体系健全，校企深度融合</w:t>
      </w:r>
    </w:p>
    <w:p w14:paraId="64D118F8">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实践教学体系构成完整，课时占比超过60%。实训内容既包括针对单项业务环节的专项实训，如外贸单证操作、外贸跟单操作、跨境电商操作等，还设置了外贸业务流程虚拟仿真实训、进出口业务综合实训等综合实训项目。此外，各院校还注重加强与企业的合作，共同开展生产性实训，如广西城市职业技术大学与广西壮家桂人商贸有限公司共建“速卖通平台应用与操作”课程；宁波职业技术大学和南京工业技术大学则依托区域经济优势，与本地龙头企业建立了更高层次的合作关系，为学生提供了丰富的实习实践资源。相较之下，广西地区部分院校在企业合作层级和资源整合能力方面仍存在一定差距，亟待通过拓展合作渠道、加强产教融合，进一步提升实践教学质量。</w:t>
      </w:r>
    </w:p>
    <w:p w14:paraId="15958B1E">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5.语言课程设置突出区域特色与多语种融合</w:t>
      </w:r>
    </w:p>
    <w:p w14:paraId="21478272">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各院校根据自身区位特点设计“贸易+外语”的复合特色。广西的职业本科院校如广西城市职业技术大学为满足东盟经贸方向的培养需求，开设了东南亚经济与贸易等相关课程，并引入东盟小语种教学资源，服务于区域开放发展战略。宁波职业技术大学则根据地方经济发展和产业对外需求，开设西班牙语、德语、日语、韩语等多语种课程，构建“多语种+国际贸易”的课程特色体系。</w:t>
      </w:r>
    </w:p>
    <w:p w14:paraId="4F3EB3DE">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6.师资队伍建设体现国际化特色</w:t>
      </w:r>
    </w:p>
    <w:p w14:paraId="272FC4C6">
      <w:pPr>
        <w:pStyle w:val="4"/>
        <w:ind w:firstLine="643"/>
        <w:rPr>
          <w:rFonts w:hint="eastAsia" w:ascii="仿宋" w:hAnsi="仿宋" w:eastAsia="仿宋"/>
          <w:b w:val="0"/>
          <w:bCs/>
          <w:sz w:val="32"/>
          <w:szCs w:val="32"/>
          <w:lang w:eastAsia="zh-CN"/>
        </w:rPr>
      </w:pPr>
      <w:r>
        <w:rPr>
          <w:rFonts w:hint="eastAsia" w:ascii="仿宋" w:hAnsi="仿宋" w:eastAsia="仿宋"/>
          <w:b w:val="0"/>
          <w:bCs/>
          <w:sz w:val="32"/>
          <w:szCs w:val="32"/>
          <w:lang w:eastAsia="zh-CN"/>
        </w:rPr>
        <w:t>师资方面，一些院校在提升教师国际化水平上取得了积极成效。宁波职业技术大学的教师中有超过75%具备海外留学或访学经历，具备较强的国际教学背景，有助于提升国际化课程的教学质量和学生的跨文化理解能力。</w:t>
      </w:r>
    </w:p>
    <w:p w14:paraId="429A2B43">
      <w:pPr>
        <w:pStyle w:val="4"/>
        <w:ind w:firstLine="643"/>
        <w:rPr>
          <w:rFonts w:hint="eastAsia" w:ascii="仿宋" w:hAnsi="仿宋" w:eastAsia="仿宋"/>
          <w:b/>
          <w:sz w:val="32"/>
          <w:szCs w:val="32"/>
          <w:highlight w:val="yellow"/>
          <w:lang w:eastAsia="zh-CN"/>
        </w:rPr>
      </w:pPr>
      <w:r>
        <w:rPr>
          <w:rFonts w:hint="eastAsia" w:ascii="仿宋" w:hAnsi="仿宋" w:eastAsia="仿宋"/>
          <w:b/>
          <w:sz w:val="32"/>
          <w:szCs w:val="32"/>
          <w:lang w:eastAsia="zh-CN"/>
        </w:rPr>
        <w:t>（七）普通本科人才培养方案特点</w:t>
      </w:r>
    </w:p>
    <w:p w14:paraId="2C4483F2">
      <w:pPr>
        <w:pBdr>
          <w:bottom w:val="none" w:color="auto" w:sz="0" w:space="0"/>
        </w:pBdr>
        <w:snapToGrid/>
        <w:spacing w:before="0" w:after="0" w:line="288" w:lineRule="auto"/>
        <w:ind w:firstLine="643" w:firstLineChars="200"/>
        <w:jc w:val="both"/>
        <w:rPr>
          <w:rFonts w:hint="default" w:ascii="仿宋" w:hAnsi="仿宋" w:eastAsia="仿宋" w:cs="仿宋"/>
          <w:b/>
          <w:bCs/>
          <w:i w:val="0"/>
          <w:strike w:val="0"/>
          <w:color w:val="000000"/>
          <w:sz w:val="32"/>
          <w:u w:val="none"/>
          <w:lang w:val="en-US" w:eastAsia="zh-CN"/>
        </w:rPr>
      </w:pPr>
      <w:r>
        <w:rPr>
          <w:rFonts w:hint="eastAsia" w:ascii="仿宋" w:hAnsi="仿宋" w:eastAsia="仿宋" w:cs="仿宋"/>
          <w:b/>
          <w:bCs/>
          <w:i w:val="0"/>
          <w:strike w:val="0"/>
          <w:color w:val="000000"/>
          <w:sz w:val="32"/>
          <w:u w:val="none"/>
          <w:lang w:val="en-US" w:eastAsia="zh-CN"/>
        </w:rPr>
        <w:t>1.应用型本科</w:t>
      </w:r>
    </w:p>
    <w:p w14:paraId="767391CE">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1</w:t>
      </w:r>
      <w:r>
        <w:rPr>
          <w:rFonts w:hint="eastAsia" w:ascii="仿宋" w:hAnsi="仿宋" w:eastAsia="仿宋" w:cs="仿宋"/>
          <w:i w:val="0"/>
          <w:strike w:val="0"/>
          <w:color w:val="000000"/>
          <w:sz w:val="32"/>
          <w:u w:val="none"/>
          <w:lang w:eastAsia="zh-CN"/>
        </w:rPr>
        <w:t>）服务区域经济的特色化培养定位</w:t>
      </w:r>
    </w:p>
    <w:p w14:paraId="6F6549BF">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培养方案紧密围绕国家重大发展战略和地方经济发展需求，构建了特色鲜明的人才培养目标体系。通过深入分析区域经贸合作特点，着重培养熟悉国际贸易规则、具备跨文化沟通能力的高素质人才。方案特别强调对接自由贸易试验区建设和跨境电商等新兴业态发展需求，形成了服务区域开放型经济发展的精准定位。</w:t>
      </w:r>
    </w:p>
    <w:p w14:paraId="169F750B">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2</w:t>
      </w:r>
      <w:r>
        <w:rPr>
          <w:rFonts w:hint="eastAsia" w:ascii="仿宋" w:hAnsi="仿宋" w:eastAsia="仿宋" w:cs="仿宋"/>
          <w:i w:val="0"/>
          <w:strike w:val="0"/>
          <w:color w:val="000000"/>
          <w:sz w:val="32"/>
          <w:u w:val="none"/>
          <w:lang w:eastAsia="zh-CN"/>
        </w:rPr>
        <w:t>）突出实践能力的模块化课程体系</w:t>
      </w:r>
    </w:p>
    <w:p w14:paraId="29500A63">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课程设计采用"基础理论+专业核心+实践应用"的模块化架构，实践教学环节占比普遍超过20%。方案注重将行业最新发展成果转化为教学内容，开设跨境电商运营、大数据分析等前沿课程。通过仿真模拟、案例教学等多样化手段，构建了理论与实践深度融合的教学体系，有效提升了学生的实务操作能力。</w:t>
      </w:r>
    </w:p>
    <w:p w14:paraId="2F113938">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3</w:t>
      </w:r>
      <w:r>
        <w:rPr>
          <w:rFonts w:hint="eastAsia" w:ascii="仿宋" w:hAnsi="仿宋" w:eastAsia="仿宋" w:cs="仿宋"/>
          <w:i w:val="0"/>
          <w:strike w:val="0"/>
          <w:color w:val="000000"/>
          <w:sz w:val="32"/>
          <w:u w:val="none"/>
          <w:lang w:eastAsia="zh-CN"/>
        </w:rPr>
        <w:t>）深度对接产业的协同育人机制</w:t>
      </w:r>
    </w:p>
    <w:p w14:paraId="4B702305">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培养方案将产教融合作为人才培养的核心路径，建立了校企协同育人的长效机制。通过共建实践基地、开发实训项目、聘请行业导师等方式，实现人才培养与产业需求的无缝对接。方案特别注重将真实外贸案例引入教学，开展"真题真做"的实践训练，培养学生的职业适应能力和创新精神。</w:t>
      </w:r>
    </w:p>
    <w:p w14:paraId="6377E7B2">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4</w:t>
      </w:r>
      <w:r>
        <w:rPr>
          <w:rFonts w:hint="eastAsia" w:ascii="仿宋" w:hAnsi="仿宋" w:eastAsia="仿宋" w:cs="仿宋"/>
          <w:i w:val="0"/>
          <w:strike w:val="0"/>
          <w:color w:val="000000"/>
          <w:sz w:val="32"/>
          <w:u w:val="none"/>
          <w:lang w:eastAsia="zh-CN"/>
        </w:rPr>
        <w:t>）多元复合型的师资队伍结构</w:t>
      </w:r>
    </w:p>
    <w:p w14:paraId="014E2229">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方案高度重视师资队伍建设，着力打造"双师型"教学团队。通过引进高层次人才、鼓励教师企业实践、建立校企人才互通机制等举措，形成了一支学术水平高、行业经验丰富的师资队伍。教师团队在专业理论、实务操作和跨文化沟通等方面形成优势互补，为应用型人才培养提供了有力支撑。</w:t>
      </w:r>
    </w:p>
    <w:p w14:paraId="3D6705BE">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5</w:t>
      </w:r>
      <w:r>
        <w:rPr>
          <w:rFonts w:hint="eastAsia" w:ascii="仿宋" w:hAnsi="仿宋" w:eastAsia="仿宋" w:cs="仿宋"/>
          <w:i w:val="0"/>
          <w:strike w:val="0"/>
          <w:color w:val="000000"/>
          <w:sz w:val="32"/>
          <w:u w:val="none"/>
          <w:lang w:eastAsia="zh-CN"/>
        </w:rPr>
        <w:t>）多维立体的质量保障体系</w:t>
      </w:r>
    </w:p>
    <w:p w14:paraId="199F2181">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培养方案建立了全过程、多维度的质量监控与评价机制。通过专业认证、课程评估、毕业生跟踪调查等方式，持续改进人才培养质量。方案特别注重实践教学效果评价，引入行业企业参与人才培养质量评估，形成了多元主体共同参与的质量保障体系。</w:t>
      </w:r>
    </w:p>
    <w:p w14:paraId="2303B23F">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lang w:eastAsia="zh-CN"/>
        </w:rPr>
      </w:pPr>
      <w:r>
        <w:rPr>
          <w:rFonts w:hint="eastAsia" w:ascii="仿宋" w:hAnsi="仿宋" w:eastAsia="仿宋" w:cs="仿宋"/>
          <w:i w:val="0"/>
          <w:strike w:val="0"/>
          <w:color w:val="000000"/>
          <w:sz w:val="32"/>
          <w:u w:val="none"/>
          <w:lang w:eastAsia="zh-CN"/>
        </w:rPr>
        <w:t>（</w:t>
      </w:r>
      <w:r>
        <w:rPr>
          <w:rFonts w:hint="eastAsia" w:ascii="仿宋" w:hAnsi="仿宋" w:eastAsia="仿宋" w:cs="仿宋"/>
          <w:i w:val="0"/>
          <w:strike w:val="0"/>
          <w:color w:val="000000"/>
          <w:sz w:val="32"/>
          <w:u w:val="none"/>
          <w:lang w:val="en-US" w:eastAsia="zh-CN"/>
        </w:rPr>
        <w:t>6</w:t>
      </w:r>
      <w:r>
        <w:rPr>
          <w:rFonts w:hint="eastAsia" w:ascii="仿宋" w:hAnsi="仿宋" w:eastAsia="仿宋" w:cs="仿宋"/>
          <w:i w:val="0"/>
          <w:strike w:val="0"/>
          <w:color w:val="000000"/>
          <w:sz w:val="32"/>
          <w:u w:val="none"/>
          <w:lang w:eastAsia="zh-CN"/>
        </w:rPr>
        <w:t>）差异化发展的专业特色亮点</w:t>
      </w:r>
    </w:p>
    <w:p w14:paraId="0BD2601E">
      <w:pPr>
        <w:pBdr>
          <w:bottom w:val="none" w:color="auto" w:sz="0" w:space="0"/>
        </w:pBdr>
        <w:snapToGrid/>
        <w:spacing w:before="0" w:after="0" w:line="288" w:lineRule="auto"/>
        <w:ind w:firstLine="640" w:firstLineChars="200"/>
        <w:jc w:val="both"/>
        <w:rPr>
          <w:rFonts w:hint="eastAsia" w:ascii="仿宋" w:hAnsi="仿宋" w:eastAsia="仿宋" w:cs="仿宋"/>
          <w:i w:val="0"/>
          <w:strike w:val="0"/>
          <w:color w:val="000000"/>
          <w:sz w:val="32"/>
          <w:u w:val="none"/>
        </w:rPr>
      </w:pPr>
      <w:r>
        <w:rPr>
          <w:rFonts w:hint="eastAsia" w:ascii="仿宋" w:hAnsi="仿宋" w:eastAsia="仿宋" w:cs="仿宋"/>
          <w:i w:val="0"/>
          <w:strike w:val="0"/>
          <w:color w:val="000000"/>
          <w:sz w:val="32"/>
          <w:u w:val="none"/>
          <w:lang w:eastAsia="zh-CN"/>
        </w:rPr>
        <w:t>各院校在把握应用型人才培养共性的基础上，积极培育专业特色。通过整合区域资源、发挥学科优势、创新培养模式等途径，形成了各具特色的人才培养路径。这种差异化发展既满足了多样化的行业需求，也为学生提供了个性化的发展空间，提升了人才培养的适应性和竞争力。</w:t>
      </w:r>
    </w:p>
    <w:p w14:paraId="7BD447F0">
      <w:pPr>
        <w:pBdr>
          <w:bottom w:val="none" w:color="auto" w:sz="0" w:space="0"/>
        </w:pBdr>
        <w:snapToGrid/>
        <w:spacing w:before="0" w:after="0" w:line="288" w:lineRule="auto"/>
        <w:ind w:firstLine="643" w:firstLineChars="200"/>
        <w:jc w:val="both"/>
        <w:rPr>
          <w:b/>
          <w:bCs/>
        </w:rPr>
      </w:pPr>
      <w:r>
        <w:rPr>
          <w:rFonts w:hint="eastAsia" w:ascii="仿宋" w:hAnsi="仿宋" w:eastAsia="仿宋" w:cs="仿宋"/>
          <w:b/>
          <w:bCs/>
          <w:i w:val="0"/>
          <w:strike w:val="0"/>
          <w:color w:val="000000"/>
          <w:sz w:val="32"/>
          <w:u w:val="none"/>
        </w:rPr>
        <w:t>2.</w:t>
      </w:r>
      <w:r>
        <w:rPr>
          <w:rFonts w:ascii="仿宋" w:hAnsi="仿宋" w:eastAsia="仿宋" w:cs="仿宋"/>
          <w:b/>
          <w:bCs/>
          <w:i w:val="0"/>
          <w:strike w:val="0"/>
          <w:color w:val="000000"/>
          <w:sz w:val="32"/>
          <w:u w:val="none"/>
        </w:rPr>
        <w:t>教学科研型本科</w:t>
      </w:r>
    </w:p>
    <w:p w14:paraId="78B3EC51">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default" w:ascii="仿宋" w:hAnsi="仿宋" w:eastAsia="仿宋" w:cs="仿宋"/>
          <w:b w:val="0"/>
          <w:bCs w:val="0"/>
          <w:i w:val="0"/>
          <w:iCs w:val="0"/>
          <w:caps w:val="0"/>
          <w:color w:val="000000"/>
          <w:spacing w:val="0"/>
          <w:sz w:val="32"/>
          <w:szCs w:val="32"/>
          <w:vertAlign w:val="baseline"/>
        </w:rPr>
        <w:t>教学科研型本科人才培养方案以“教学与科研协同”为核心，兼顾知识传授、能力培养与学术创新，旨在培养具有扎实理论基础、实践能力和科研素养的复合型人才。其核心特点可归纳为以下五个方面：</w:t>
      </w:r>
    </w:p>
    <w:p w14:paraId="51F99D5B">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eastAsia" w:ascii="仿宋" w:hAnsi="仿宋" w:eastAsia="仿宋" w:cs="仿宋"/>
          <w:b w:val="0"/>
          <w:bCs w:val="0"/>
          <w:i w:val="0"/>
          <w:iCs w:val="0"/>
          <w:caps w:val="0"/>
          <w:color w:val="000000"/>
          <w:spacing w:val="0"/>
          <w:sz w:val="32"/>
          <w:szCs w:val="32"/>
          <w:vertAlign w:val="baseline"/>
          <w:lang w:eastAsia="zh-CN"/>
        </w:rPr>
        <w:t>（</w:t>
      </w:r>
      <w:r>
        <w:rPr>
          <w:rFonts w:hint="eastAsia" w:ascii="仿宋" w:hAnsi="仿宋" w:eastAsia="仿宋" w:cs="仿宋"/>
          <w:b w:val="0"/>
          <w:bCs w:val="0"/>
          <w:i w:val="0"/>
          <w:iCs w:val="0"/>
          <w:caps w:val="0"/>
          <w:color w:val="000000"/>
          <w:spacing w:val="0"/>
          <w:sz w:val="32"/>
          <w:szCs w:val="32"/>
          <w:vertAlign w:val="baseline"/>
          <w:lang w:val="en-US" w:eastAsia="zh-CN"/>
        </w:rPr>
        <w:t>1</w:t>
      </w:r>
      <w:r>
        <w:rPr>
          <w:rFonts w:hint="eastAsia" w:ascii="仿宋" w:hAnsi="仿宋" w:eastAsia="仿宋" w:cs="仿宋"/>
          <w:b w:val="0"/>
          <w:bCs w:val="0"/>
          <w:i w:val="0"/>
          <w:iCs w:val="0"/>
          <w:caps w:val="0"/>
          <w:color w:val="000000"/>
          <w:spacing w:val="0"/>
          <w:sz w:val="32"/>
          <w:szCs w:val="32"/>
          <w:vertAlign w:val="baseline"/>
          <w:lang w:eastAsia="zh-CN"/>
        </w:rPr>
        <w:t>）</w:t>
      </w:r>
      <w:r>
        <w:rPr>
          <w:rFonts w:hint="default" w:ascii="仿宋" w:hAnsi="仿宋" w:eastAsia="仿宋" w:cs="仿宋"/>
          <w:b w:val="0"/>
          <w:bCs w:val="0"/>
          <w:i w:val="0"/>
          <w:iCs w:val="0"/>
          <w:caps w:val="0"/>
          <w:color w:val="000000"/>
          <w:spacing w:val="0"/>
          <w:sz w:val="32"/>
          <w:szCs w:val="32"/>
          <w:vertAlign w:val="baseline"/>
        </w:rPr>
        <w:t>学科交叉与知识融合</w:t>
      </w:r>
    </w:p>
    <w:p w14:paraId="72739FB4">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eastAsia" w:ascii="仿宋" w:hAnsi="仿宋" w:eastAsia="仿宋" w:cs="仿宋"/>
          <w:b w:val="0"/>
          <w:bCs w:val="0"/>
          <w:i w:val="0"/>
          <w:iCs w:val="0"/>
          <w:caps w:val="0"/>
          <w:color w:val="000000"/>
          <w:spacing w:val="0"/>
          <w:sz w:val="32"/>
          <w:szCs w:val="32"/>
          <w:vertAlign w:val="baseline"/>
          <w:lang w:val="en-US" w:eastAsia="zh-CN"/>
        </w:rPr>
        <w:t>在学科交叉上体现为</w:t>
      </w:r>
      <w:r>
        <w:rPr>
          <w:rFonts w:hint="default" w:ascii="仿宋" w:hAnsi="仿宋" w:eastAsia="仿宋" w:cs="仿宋"/>
          <w:b w:val="0"/>
          <w:bCs w:val="0"/>
          <w:i w:val="0"/>
          <w:iCs w:val="0"/>
          <w:caps w:val="0"/>
          <w:color w:val="000000"/>
          <w:spacing w:val="0"/>
          <w:sz w:val="32"/>
          <w:szCs w:val="32"/>
          <w:vertAlign w:val="baseline"/>
        </w:rPr>
        <w:t>跨学科课程设计</w:t>
      </w:r>
      <w:r>
        <w:rPr>
          <w:rFonts w:hint="eastAsia" w:ascii="仿宋" w:hAnsi="仿宋" w:eastAsia="仿宋" w:cs="仿宋"/>
          <w:b w:val="0"/>
          <w:bCs w:val="0"/>
          <w:i w:val="0"/>
          <w:iCs w:val="0"/>
          <w:caps w:val="0"/>
          <w:color w:val="000000"/>
          <w:spacing w:val="0"/>
          <w:sz w:val="32"/>
          <w:szCs w:val="32"/>
          <w:vertAlign w:val="baseline"/>
          <w:lang w:eastAsia="zh-CN"/>
        </w:rPr>
        <w:t>，</w:t>
      </w:r>
      <w:r>
        <w:rPr>
          <w:rFonts w:hint="default" w:ascii="仿宋" w:hAnsi="仿宋" w:eastAsia="仿宋" w:cs="仿宋"/>
          <w:b w:val="0"/>
          <w:bCs w:val="0"/>
          <w:i w:val="0"/>
          <w:iCs w:val="0"/>
          <w:caps w:val="0"/>
          <w:color w:val="000000"/>
          <w:spacing w:val="0"/>
          <w:sz w:val="32"/>
          <w:szCs w:val="32"/>
          <w:vertAlign w:val="baseline"/>
        </w:rPr>
        <w:t>打破传统学科壁垒，构建“基础学科+专业核心+前沿交叉”课程体系。例如，国际经济与贸易专业融合经济学、法学、管理学与计算机科学，开设《数字贸易法规》《大数据与供应链分析》等课程，培养学生在数字经济背景下的综合分析能力。</w:t>
      </w:r>
      <w:r>
        <w:rPr>
          <w:rFonts w:hint="eastAsia" w:ascii="仿宋" w:hAnsi="仿宋" w:eastAsia="仿宋" w:cs="仿宋"/>
          <w:b w:val="0"/>
          <w:bCs w:val="0"/>
          <w:i w:val="0"/>
          <w:iCs w:val="0"/>
          <w:caps w:val="0"/>
          <w:color w:val="000000"/>
          <w:spacing w:val="0"/>
          <w:sz w:val="32"/>
          <w:szCs w:val="32"/>
          <w:vertAlign w:val="baseline"/>
          <w:lang w:val="en-US" w:eastAsia="zh-CN"/>
        </w:rPr>
        <w:t>在知识融合上主要是</w:t>
      </w:r>
      <w:r>
        <w:rPr>
          <w:rFonts w:hint="default" w:ascii="仿宋" w:hAnsi="仿宋" w:eastAsia="仿宋" w:cs="仿宋"/>
          <w:b w:val="0"/>
          <w:bCs w:val="0"/>
          <w:i w:val="0"/>
          <w:iCs w:val="0"/>
          <w:caps w:val="0"/>
          <w:color w:val="000000"/>
          <w:spacing w:val="0"/>
          <w:sz w:val="32"/>
          <w:szCs w:val="32"/>
          <w:vertAlign w:val="baseline"/>
        </w:rPr>
        <w:t>模块化课程组合</w:t>
      </w:r>
      <w:r>
        <w:rPr>
          <w:rFonts w:hint="eastAsia" w:ascii="仿宋" w:hAnsi="仿宋" w:eastAsia="仿宋" w:cs="仿宋"/>
          <w:b w:val="0"/>
          <w:bCs w:val="0"/>
          <w:i w:val="0"/>
          <w:iCs w:val="0"/>
          <w:caps w:val="0"/>
          <w:color w:val="000000"/>
          <w:spacing w:val="0"/>
          <w:sz w:val="32"/>
          <w:szCs w:val="32"/>
          <w:vertAlign w:val="baseline"/>
          <w:lang w:eastAsia="zh-CN"/>
        </w:rPr>
        <w:t>，</w:t>
      </w:r>
      <w:r>
        <w:rPr>
          <w:rFonts w:hint="default" w:ascii="仿宋" w:hAnsi="仿宋" w:eastAsia="仿宋" w:cs="仿宋"/>
          <w:b w:val="0"/>
          <w:bCs w:val="0"/>
          <w:i w:val="0"/>
          <w:iCs w:val="0"/>
          <w:caps w:val="0"/>
          <w:color w:val="000000"/>
          <w:spacing w:val="0"/>
          <w:sz w:val="32"/>
          <w:szCs w:val="32"/>
          <w:vertAlign w:val="baseline"/>
        </w:rPr>
        <w:t>提供“必修+选修+实践”模块化选择，学生可根据兴趣选择跨境电商、国际金融等方向，实现个性化发展。</w:t>
      </w:r>
    </w:p>
    <w:p w14:paraId="6D6BBEAE">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eastAsia" w:ascii="仿宋" w:hAnsi="仿宋" w:eastAsia="仿宋" w:cs="仿宋"/>
          <w:b w:val="0"/>
          <w:bCs w:val="0"/>
          <w:i w:val="0"/>
          <w:iCs w:val="0"/>
          <w:caps w:val="0"/>
          <w:color w:val="000000"/>
          <w:spacing w:val="0"/>
          <w:sz w:val="32"/>
          <w:szCs w:val="32"/>
          <w:vertAlign w:val="baseline"/>
          <w:lang w:eastAsia="zh-CN"/>
        </w:rPr>
        <w:t>（</w:t>
      </w:r>
      <w:r>
        <w:rPr>
          <w:rFonts w:hint="eastAsia" w:ascii="仿宋" w:hAnsi="仿宋" w:eastAsia="仿宋" w:cs="仿宋"/>
          <w:b w:val="0"/>
          <w:bCs w:val="0"/>
          <w:i w:val="0"/>
          <w:iCs w:val="0"/>
          <w:caps w:val="0"/>
          <w:color w:val="000000"/>
          <w:spacing w:val="0"/>
          <w:sz w:val="32"/>
          <w:szCs w:val="32"/>
          <w:vertAlign w:val="baseline"/>
          <w:lang w:val="en-US" w:eastAsia="zh-CN"/>
        </w:rPr>
        <w:t>2</w:t>
      </w:r>
      <w:r>
        <w:rPr>
          <w:rFonts w:hint="eastAsia" w:ascii="仿宋" w:hAnsi="仿宋" w:eastAsia="仿宋" w:cs="仿宋"/>
          <w:b w:val="0"/>
          <w:bCs w:val="0"/>
          <w:i w:val="0"/>
          <w:iCs w:val="0"/>
          <w:caps w:val="0"/>
          <w:color w:val="000000"/>
          <w:spacing w:val="0"/>
          <w:sz w:val="32"/>
          <w:szCs w:val="32"/>
          <w:vertAlign w:val="baseline"/>
          <w:lang w:eastAsia="zh-CN"/>
        </w:rPr>
        <w:t>）</w:t>
      </w:r>
      <w:r>
        <w:rPr>
          <w:rFonts w:hint="default" w:ascii="仿宋" w:hAnsi="仿宋" w:eastAsia="仿宋" w:cs="仿宋"/>
          <w:b w:val="0"/>
          <w:bCs w:val="0"/>
          <w:i w:val="0"/>
          <w:iCs w:val="0"/>
          <w:caps w:val="0"/>
          <w:color w:val="000000"/>
          <w:spacing w:val="0"/>
          <w:sz w:val="32"/>
          <w:szCs w:val="32"/>
          <w:vertAlign w:val="baseline"/>
        </w:rPr>
        <w:t>科研反哺教学，强化实践能力</w:t>
      </w:r>
    </w:p>
    <w:p w14:paraId="2CAD1231">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eastAsia" w:ascii="仿宋" w:hAnsi="仿宋" w:eastAsia="仿宋" w:cs="仿宋"/>
          <w:b w:val="0"/>
          <w:bCs w:val="0"/>
          <w:i w:val="0"/>
          <w:iCs w:val="0"/>
          <w:caps w:val="0"/>
          <w:color w:val="000000"/>
          <w:spacing w:val="0"/>
          <w:sz w:val="32"/>
          <w:szCs w:val="32"/>
          <w:vertAlign w:val="baseline"/>
          <w:lang w:val="en-US" w:eastAsia="zh-CN"/>
        </w:rPr>
        <w:t>通过</w:t>
      </w:r>
      <w:r>
        <w:rPr>
          <w:rFonts w:hint="default" w:ascii="仿宋" w:hAnsi="仿宋" w:eastAsia="仿宋" w:cs="仿宋"/>
          <w:b w:val="0"/>
          <w:bCs w:val="0"/>
          <w:i w:val="0"/>
          <w:iCs w:val="0"/>
          <w:caps w:val="0"/>
          <w:color w:val="000000"/>
          <w:spacing w:val="0"/>
          <w:sz w:val="32"/>
          <w:szCs w:val="32"/>
          <w:vertAlign w:val="baseline"/>
        </w:rPr>
        <w:t>科研成果转化教学案例</w:t>
      </w:r>
      <w:r>
        <w:rPr>
          <w:rFonts w:hint="eastAsia" w:ascii="仿宋" w:hAnsi="仿宋" w:eastAsia="仿宋" w:cs="仿宋"/>
          <w:b w:val="0"/>
          <w:bCs w:val="0"/>
          <w:i w:val="0"/>
          <w:iCs w:val="0"/>
          <w:caps w:val="0"/>
          <w:color w:val="000000"/>
          <w:spacing w:val="0"/>
          <w:sz w:val="32"/>
          <w:szCs w:val="32"/>
          <w:vertAlign w:val="baseline"/>
          <w:lang w:val="en-US" w:eastAsia="zh-CN"/>
        </w:rPr>
        <w:t>来实现科研反哺教学，</w:t>
      </w:r>
      <w:r>
        <w:rPr>
          <w:rFonts w:hint="default" w:ascii="仿宋" w:hAnsi="仿宋" w:eastAsia="仿宋" w:cs="仿宋"/>
          <w:b w:val="0"/>
          <w:bCs w:val="0"/>
          <w:i w:val="0"/>
          <w:iCs w:val="0"/>
          <w:caps w:val="0"/>
          <w:color w:val="000000"/>
          <w:spacing w:val="0"/>
          <w:sz w:val="32"/>
          <w:szCs w:val="32"/>
          <w:vertAlign w:val="baseline"/>
        </w:rPr>
        <w:t>将教师主持的国家级课题（如“一带一路”沿线国家贸易研究）转化为课堂案例，学生参与数据收集与分析，提升问题解决能力。</w:t>
      </w:r>
      <w:r>
        <w:rPr>
          <w:rFonts w:hint="eastAsia" w:ascii="仿宋" w:hAnsi="仿宋" w:eastAsia="仿宋" w:cs="仿宋"/>
          <w:b w:val="0"/>
          <w:bCs w:val="0"/>
          <w:i w:val="0"/>
          <w:iCs w:val="0"/>
          <w:caps w:val="0"/>
          <w:color w:val="000000"/>
          <w:spacing w:val="0"/>
          <w:sz w:val="32"/>
          <w:szCs w:val="32"/>
          <w:vertAlign w:val="baseline"/>
          <w:lang w:val="en-US" w:eastAsia="zh-CN"/>
        </w:rPr>
        <w:t>进一步通过</w:t>
      </w:r>
      <w:r>
        <w:rPr>
          <w:rFonts w:hint="default" w:ascii="仿宋" w:hAnsi="仿宋" w:eastAsia="仿宋" w:cs="仿宋"/>
          <w:b w:val="0"/>
          <w:bCs w:val="0"/>
          <w:i w:val="0"/>
          <w:iCs w:val="0"/>
          <w:caps w:val="0"/>
          <w:color w:val="000000"/>
          <w:spacing w:val="0"/>
          <w:sz w:val="32"/>
          <w:szCs w:val="32"/>
          <w:vertAlign w:val="baseline"/>
        </w:rPr>
        <w:t>沉浸式实践教学</w:t>
      </w:r>
      <w:r>
        <w:rPr>
          <w:rFonts w:hint="eastAsia" w:ascii="仿宋" w:hAnsi="仿宋" w:eastAsia="仿宋" w:cs="仿宋"/>
          <w:b w:val="0"/>
          <w:bCs w:val="0"/>
          <w:i w:val="0"/>
          <w:iCs w:val="0"/>
          <w:caps w:val="0"/>
          <w:color w:val="000000"/>
          <w:spacing w:val="0"/>
          <w:sz w:val="32"/>
          <w:szCs w:val="32"/>
          <w:vertAlign w:val="baseline"/>
          <w:lang w:val="en-US" w:eastAsia="zh-CN"/>
        </w:rPr>
        <w:t>来</w:t>
      </w:r>
      <w:r>
        <w:rPr>
          <w:rFonts w:hint="default" w:ascii="仿宋" w:hAnsi="仿宋" w:eastAsia="仿宋" w:cs="仿宋"/>
          <w:b w:val="0"/>
          <w:bCs w:val="0"/>
          <w:i w:val="0"/>
          <w:iCs w:val="0"/>
          <w:caps w:val="0"/>
          <w:color w:val="000000"/>
          <w:spacing w:val="0"/>
          <w:sz w:val="32"/>
          <w:szCs w:val="32"/>
          <w:vertAlign w:val="baseline"/>
        </w:rPr>
        <w:t>强化实践能力</w:t>
      </w:r>
      <w:r>
        <w:rPr>
          <w:rFonts w:hint="eastAsia" w:ascii="仿宋" w:hAnsi="仿宋" w:eastAsia="仿宋" w:cs="仿宋"/>
          <w:b w:val="0"/>
          <w:bCs w:val="0"/>
          <w:i w:val="0"/>
          <w:iCs w:val="0"/>
          <w:caps w:val="0"/>
          <w:color w:val="000000"/>
          <w:spacing w:val="0"/>
          <w:sz w:val="32"/>
          <w:szCs w:val="32"/>
          <w:vertAlign w:val="baseline"/>
          <w:lang w:eastAsia="zh-CN"/>
        </w:rPr>
        <w:t>，</w:t>
      </w:r>
      <w:r>
        <w:rPr>
          <w:rFonts w:hint="default" w:ascii="仿宋" w:hAnsi="仿宋" w:eastAsia="仿宋" w:cs="仿宋"/>
          <w:b w:val="0"/>
          <w:bCs w:val="0"/>
          <w:i w:val="0"/>
          <w:iCs w:val="0"/>
          <w:caps w:val="0"/>
          <w:color w:val="000000"/>
          <w:spacing w:val="0"/>
          <w:sz w:val="32"/>
          <w:szCs w:val="32"/>
          <w:vertAlign w:val="baseline"/>
        </w:rPr>
        <w:t>设置“科研导师制”，学生加入教师课题组，参与论文撰写、学术会议；与企业共建实验室，开展跨境电商业态模拟、国际仲裁辩论等实训，缩短理论到实践的距离。</w:t>
      </w:r>
    </w:p>
    <w:p w14:paraId="78BB3331">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eastAsia" w:ascii="仿宋" w:hAnsi="仿宋" w:eastAsia="仿宋" w:cs="仿宋"/>
          <w:b w:val="0"/>
          <w:bCs w:val="0"/>
          <w:i w:val="0"/>
          <w:iCs w:val="0"/>
          <w:caps w:val="0"/>
          <w:color w:val="000000"/>
          <w:spacing w:val="0"/>
          <w:sz w:val="32"/>
          <w:szCs w:val="32"/>
          <w:vertAlign w:val="baseline"/>
          <w:lang w:eastAsia="zh-CN"/>
        </w:rPr>
        <w:t>（</w:t>
      </w:r>
      <w:r>
        <w:rPr>
          <w:rFonts w:hint="eastAsia" w:ascii="仿宋" w:hAnsi="仿宋" w:eastAsia="仿宋" w:cs="仿宋"/>
          <w:b w:val="0"/>
          <w:bCs w:val="0"/>
          <w:i w:val="0"/>
          <w:iCs w:val="0"/>
          <w:caps w:val="0"/>
          <w:color w:val="000000"/>
          <w:spacing w:val="0"/>
          <w:sz w:val="32"/>
          <w:szCs w:val="32"/>
          <w:vertAlign w:val="baseline"/>
          <w:lang w:val="en-US" w:eastAsia="zh-CN"/>
        </w:rPr>
        <w:t>3</w:t>
      </w:r>
      <w:r>
        <w:rPr>
          <w:rFonts w:hint="eastAsia" w:ascii="仿宋" w:hAnsi="仿宋" w:eastAsia="仿宋" w:cs="仿宋"/>
          <w:b w:val="0"/>
          <w:bCs w:val="0"/>
          <w:i w:val="0"/>
          <w:iCs w:val="0"/>
          <w:caps w:val="0"/>
          <w:color w:val="000000"/>
          <w:spacing w:val="0"/>
          <w:sz w:val="32"/>
          <w:szCs w:val="32"/>
          <w:vertAlign w:val="baseline"/>
          <w:lang w:eastAsia="zh-CN"/>
        </w:rPr>
        <w:t>）</w:t>
      </w:r>
      <w:r>
        <w:rPr>
          <w:rFonts w:hint="default" w:ascii="仿宋" w:hAnsi="仿宋" w:eastAsia="仿宋" w:cs="仿宋"/>
          <w:b w:val="0"/>
          <w:bCs w:val="0"/>
          <w:i w:val="0"/>
          <w:iCs w:val="0"/>
          <w:caps w:val="0"/>
          <w:color w:val="000000"/>
          <w:spacing w:val="0"/>
          <w:sz w:val="32"/>
          <w:szCs w:val="32"/>
          <w:vertAlign w:val="baseline"/>
        </w:rPr>
        <w:t>国际化与区域化并重</w:t>
      </w:r>
    </w:p>
    <w:p w14:paraId="6A30F442">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eastAsia" w:ascii="仿宋" w:hAnsi="仿宋" w:eastAsia="仿宋" w:cs="仿宋"/>
          <w:b w:val="0"/>
          <w:bCs w:val="0"/>
          <w:i w:val="0"/>
          <w:iCs w:val="0"/>
          <w:caps w:val="0"/>
          <w:color w:val="000000"/>
          <w:spacing w:val="0"/>
          <w:sz w:val="32"/>
          <w:szCs w:val="32"/>
          <w:vertAlign w:val="baseline"/>
          <w:lang w:val="en-US" w:eastAsia="zh-CN"/>
        </w:rPr>
        <w:t>在</w:t>
      </w:r>
      <w:r>
        <w:rPr>
          <w:rFonts w:hint="default" w:ascii="仿宋" w:hAnsi="仿宋" w:eastAsia="仿宋" w:cs="仿宋"/>
          <w:b w:val="0"/>
          <w:bCs w:val="0"/>
          <w:i w:val="0"/>
          <w:iCs w:val="0"/>
          <w:caps w:val="0"/>
          <w:color w:val="000000"/>
          <w:spacing w:val="0"/>
          <w:sz w:val="32"/>
          <w:szCs w:val="32"/>
          <w:vertAlign w:val="baseline"/>
        </w:rPr>
        <w:t>全球视野培养</w:t>
      </w:r>
      <w:r>
        <w:rPr>
          <w:rFonts w:hint="eastAsia" w:ascii="仿宋" w:hAnsi="仿宋" w:eastAsia="仿宋" w:cs="仿宋"/>
          <w:b w:val="0"/>
          <w:bCs w:val="0"/>
          <w:i w:val="0"/>
          <w:iCs w:val="0"/>
          <w:caps w:val="0"/>
          <w:color w:val="000000"/>
          <w:spacing w:val="0"/>
          <w:sz w:val="32"/>
          <w:szCs w:val="32"/>
          <w:vertAlign w:val="baseline"/>
          <w:lang w:val="en-US" w:eastAsia="zh-CN"/>
        </w:rPr>
        <w:t>方面，</w:t>
      </w:r>
      <w:r>
        <w:rPr>
          <w:rFonts w:hint="default" w:ascii="仿宋" w:hAnsi="仿宋" w:eastAsia="仿宋" w:cs="仿宋"/>
          <w:b w:val="0"/>
          <w:bCs w:val="0"/>
          <w:i w:val="0"/>
          <w:iCs w:val="0"/>
          <w:caps w:val="0"/>
          <w:color w:val="000000"/>
          <w:spacing w:val="0"/>
          <w:sz w:val="32"/>
          <w:szCs w:val="32"/>
          <w:vertAlign w:val="baseline"/>
        </w:rPr>
        <w:t>开设全英文课程（如《国际经济学》）、第二外语（法语、西班牙语），与海外高校联合培养，学生可参与国际组织实习（如WTO模拟谈判），提升跨文化沟通能力。</w:t>
      </w:r>
      <w:r>
        <w:rPr>
          <w:rFonts w:hint="eastAsia" w:ascii="仿宋" w:hAnsi="仿宋" w:eastAsia="仿宋" w:cs="仿宋"/>
          <w:b w:val="0"/>
          <w:bCs w:val="0"/>
          <w:i w:val="0"/>
          <w:iCs w:val="0"/>
          <w:caps w:val="0"/>
          <w:color w:val="000000"/>
          <w:spacing w:val="0"/>
          <w:sz w:val="32"/>
          <w:szCs w:val="32"/>
          <w:vertAlign w:val="baseline"/>
          <w:lang w:val="en-US" w:eastAsia="zh-CN"/>
        </w:rPr>
        <w:t>同时</w:t>
      </w:r>
      <w:r>
        <w:rPr>
          <w:rFonts w:hint="default" w:ascii="仿宋" w:hAnsi="仿宋" w:eastAsia="仿宋" w:cs="仿宋"/>
          <w:b w:val="0"/>
          <w:bCs w:val="0"/>
          <w:i w:val="0"/>
          <w:iCs w:val="0"/>
          <w:caps w:val="0"/>
          <w:color w:val="000000"/>
          <w:spacing w:val="0"/>
          <w:sz w:val="32"/>
          <w:szCs w:val="32"/>
          <w:vertAlign w:val="baseline"/>
        </w:rPr>
        <w:t>区域服务特色</w:t>
      </w:r>
      <w:r>
        <w:rPr>
          <w:rFonts w:hint="eastAsia" w:ascii="仿宋" w:hAnsi="仿宋" w:eastAsia="仿宋" w:cs="仿宋"/>
          <w:b w:val="0"/>
          <w:bCs w:val="0"/>
          <w:i w:val="0"/>
          <w:iCs w:val="0"/>
          <w:caps w:val="0"/>
          <w:color w:val="000000"/>
          <w:spacing w:val="0"/>
          <w:sz w:val="32"/>
          <w:szCs w:val="32"/>
          <w:vertAlign w:val="baseline"/>
          <w:lang w:val="en-US" w:eastAsia="zh-CN"/>
        </w:rPr>
        <w:t>上，</w:t>
      </w:r>
      <w:r>
        <w:rPr>
          <w:rFonts w:hint="default" w:ascii="仿宋" w:hAnsi="仿宋" w:eastAsia="仿宋" w:cs="仿宋"/>
          <w:b w:val="0"/>
          <w:bCs w:val="0"/>
          <w:i w:val="0"/>
          <w:iCs w:val="0"/>
          <w:caps w:val="0"/>
          <w:color w:val="000000"/>
          <w:spacing w:val="0"/>
          <w:sz w:val="32"/>
          <w:szCs w:val="32"/>
          <w:vertAlign w:val="baseline"/>
        </w:rPr>
        <w:t>结合区域经济需求，设置特色课程（如《中国—东盟经贸合作》），鼓励学生参与地方产业研究，服务区域发展。</w:t>
      </w:r>
    </w:p>
    <w:p w14:paraId="46B0C18C">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eastAsia" w:ascii="仿宋" w:hAnsi="仿宋" w:eastAsia="仿宋" w:cs="仿宋"/>
          <w:b w:val="0"/>
          <w:bCs w:val="0"/>
          <w:i w:val="0"/>
          <w:iCs w:val="0"/>
          <w:caps w:val="0"/>
          <w:color w:val="000000"/>
          <w:spacing w:val="0"/>
          <w:sz w:val="32"/>
          <w:szCs w:val="32"/>
          <w:vertAlign w:val="baseline"/>
          <w:lang w:eastAsia="zh-CN"/>
        </w:rPr>
        <w:t>（</w:t>
      </w:r>
      <w:r>
        <w:rPr>
          <w:rFonts w:hint="eastAsia" w:ascii="仿宋" w:hAnsi="仿宋" w:eastAsia="仿宋" w:cs="仿宋"/>
          <w:b w:val="0"/>
          <w:bCs w:val="0"/>
          <w:i w:val="0"/>
          <w:iCs w:val="0"/>
          <w:caps w:val="0"/>
          <w:color w:val="000000"/>
          <w:spacing w:val="0"/>
          <w:sz w:val="32"/>
          <w:szCs w:val="32"/>
          <w:vertAlign w:val="baseline"/>
          <w:lang w:val="en-US" w:eastAsia="zh-CN"/>
        </w:rPr>
        <w:t>4</w:t>
      </w:r>
      <w:r>
        <w:rPr>
          <w:rFonts w:hint="eastAsia" w:ascii="仿宋" w:hAnsi="仿宋" w:eastAsia="仿宋" w:cs="仿宋"/>
          <w:b w:val="0"/>
          <w:bCs w:val="0"/>
          <w:i w:val="0"/>
          <w:iCs w:val="0"/>
          <w:caps w:val="0"/>
          <w:color w:val="000000"/>
          <w:spacing w:val="0"/>
          <w:sz w:val="32"/>
          <w:szCs w:val="32"/>
          <w:vertAlign w:val="baseline"/>
          <w:lang w:eastAsia="zh-CN"/>
        </w:rPr>
        <w:t>）</w:t>
      </w:r>
      <w:r>
        <w:rPr>
          <w:rFonts w:hint="default" w:ascii="仿宋" w:hAnsi="仿宋" w:eastAsia="仿宋" w:cs="仿宋"/>
          <w:b w:val="0"/>
          <w:bCs w:val="0"/>
          <w:i w:val="0"/>
          <w:iCs w:val="0"/>
          <w:caps w:val="0"/>
          <w:color w:val="000000"/>
          <w:spacing w:val="0"/>
          <w:sz w:val="32"/>
          <w:szCs w:val="32"/>
          <w:vertAlign w:val="baseline"/>
        </w:rPr>
        <w:t>产教融合与协同育人</w:t>
      </w:r>
    </w:p>
    <w:p w14:paraId="1D82096A">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eastAsia" w:ascii="仿宋" w:hAnsi="仿宋" w:eastAsia="仿宋" w:cs="仿宋"/>
          <w:b w:val="0"/>
          <w:bCs w:val="0"/>
          <w:i w:val="0"/>
          <w:iCs w:val="0"/>
          <w:caps w:val="0"/>
          <w:color w:val="000000"/>
          <w:spacing w:val="0"/>
          <w:sz w:val="32"/>
          <w:szCs w:val="32"/>
          <w:vertAlign w:val="baseline"/>
          <w:lang w:val="en-US" w:eastAsia="zh-CN"/>
        </w:rPr>
        <w:t>在</w:t>
      </w:r>
      <w:r>
        <w:rPr>
          <w:rFonts w:hint="default" w:ascii="仿宋" w:hAnsi="仿宋" w:eastAsia="仿宋" w:cs="仿宋"/>
          <w:b w:val="0"/>
          <w:bCs w:val="0"/>
          <w:i w:val="0"/>
          <w:iCs w:val="0"/>
          <w:caps w:val="0"/>
          <w:color w:val="000000"/>
          <w:spacing w:val="0"/>
          <w:sz w:val="32"/>
          <w:szCs w:val="32"/>
          <w:vertAlign w:val="baseline"/>
        </w:rPr>
        <w:t>校企联合培养</w:t>
      </w:r>
      <w:r>
        <w:rPr>
          <w:rFonts w:hint="eastAsia" w:ascii="仿宋" w:hAnsi="仿宋" w:eastAsia="仿宋" w:cs="仿宋"/>
          <w:b w:val="0"/>
          <w:bCs w:val="0"/>
          <w:i w:val="0"/>
          <w:iCs w:val="0"/>
          <w:caps w:val="0"/>
          <w:color w:val="000000"/>
          <w:spacing w:val="0"/>
          <w:sz w:val="32"/>
          <w:szCs w:val="32"/>
          <w:vertAlign w:val="baseline"/>
          <w:lang w:val="en-US" w:eastAsia="zh-CN"/>
        </w:rPr>
        <w:t>是上，</w:t>
      </w:r>
      <w:r>
        <w:rPr>
          <w:rFonts w:hint="default" w:ascii="仿宋" w:hAnsi="仿宋" w:eastAsia="仿宋" w:cs="仿宋"/>
          <w:b w:val="0"/>
          <w:bCs w:val="0"/>
          <w:i w:val="0"/>
          <w:iCs w:val="0"/>
          <w:caps w:val="0"/>
          <w:color w:val="000000"/>
          <w:spacing w:val="0"/>
          <w:sz w:val="32"/>
          <w:szCs w:val="32"/>
          <w:vertAlign w:val="baseline"/>
        </w:rPr>
        <w:t>与亚马逊、特斯拉等跨国企业共建实习基地，学生参与企业真实项目（如跨境物流优化），企业导师参与课程设计，确保教学内容与行业需求同步。</w:t>
      </w:r>
      <w:r>
        <w:rPr>
          <w:rFonts w:hint="eastAsia" w:ascii="仿宋" w:hAnsi="仿宋" w:eastAsia="仿宋" w:cs="仿宋"/>
          <w:b w:val="0"/>
          <w:bCs w:val="0"/>
          <w:i w:val="0"/>
          <w:iCs w:val="0"/>
          <w:caps w:val="0"/>
          <w:color w:val="000000"/>
          <w:spacing w:val="0"/>
          <w:sz w:val="32"/>
          <w:szCs w:val="32"/>
          <w:vertAlign w:val="baseline"/>
          <w:lang w:val="en-US" w:eastAsia="zh-CN"/>
        </w:rPr>
        <w:t>在</w:t>
      </w:r>
      <w:r>
        <w:rPr>
          <w:rFonts w:hint="default" w:ascii="仿宋" w:hAnsi="仿宋" w:eastAsia="仿宋" w:cs="仿宋"/>
          <w:b w:val="0"/>
          <w:bCs w:val="0"/>
          <w:i w:val="0"/>
          <w:iCs w:val="0"/>
          <w:caps w:val="0"/>
          <w:color w:val="000000"/>
          <w:spacing w:val="0"/>
          <w:sz w:val="32"/>
          <w:szCs w:val="32"/>
          <w:vertAlign w:val="baseline"/>
        </w:rPr>
        <w:t>创新创业教育</w:t>
      </w:r>
      <w:r>
        <w:rPr>
          <w:rFonts w:hint="eastAsia" w:ascii="仿宋" w:hAnsi="仿宋" w:eastAsia="仿宋" w:cs="仿宋"/>
          <w:b w:val="0"/>
          <w:bCs w:val="0"/>
          <w:i w:val="0"/>
          <w:iCs w:val="0"/>
          <w:caps w:val="0"/>
          <w:color w:val="000000"/>
          <w:spacing w:val="0"/>
          <w:sz w:val="32"/>
          <w:szCs w:val="32"/>
          <w:vertAlign w:val="baseline"/>
          <w:lang w:val="en-US" w:eastAsia="zh-CN"/>
        </w:rPr>
        <w:t>方面，</w:t>
      </w:r>
      <w:r>
        <w:rPr>
          <w:rFonts w:hint="default" w:ascii="仿宋" w:hAnsi="仿宋" w:eastAsia="仿宋" w:cs="仿宋"/>
          <w:b w:val="0"/>
          <w:bCs w:val="0"/>
          <w:i w:val="0"/>
          <w:iCs w:val="0"/>
          <w:caps w:val="0"/>
          <w:color w:val="000000"/>
          <w:spacing w:val="0"/>
          <w:sz w:val="32"/>
          <w:szCs w:val="32"/>
          <w:vertAlign w:val="baseline"/>
        </w:rPr>
        <w:t>开设《创新创业基础》课程，举办跨境电商创业大赛，鼓励学生将科研成果转化为商业项目，培养企业家精神。</w:t>
      </w:r>
    </w:p>
    <w:p w14:paraId="76EB85DF">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default" w:ascii="仿宋" w:hAnsi="仿宋" w:eastAsia="仿宋" w:cs="仿宋"/>
          <w:b w:val="0"/>
          <w:bCs w:val="0"/>
          <w:i w:val="0"/>
          <w:iCs w:val="0"/>
          <w:caps w:val="0"/>
          <w:color w:val="000000"/>
          <w:spacing w:val="0"/>
          <w:sz w:val="32"/>
          <w:szCs w:val="32"/>
          <w:vertAlign w:val="baseline"/>
        </w:rPr>
      </w:pPr>
      <w:r>
        <w:rPr>
          <w:rFonts w:hint="eastAsia" w:ascii="仿宋" w:hAnsi="仿宋" w:eastAsia="仿宋" w:cs="仿宋"/>
          <w:b w:val="0"/>
          <w:bCs w:val="0"/>
          <w:i w:val="0"/>
          <w:iCs w:val="0"/>
          <w:caps w:val="0"/>
          <w:color w:val="000000"/>
          <w:spacing w:val="0"/>
          <w:sz w:val="32"/>
          <w:szCs w:val="32"/>
          <w:vertAlign w:val="baseline"/>
          <w:lang w:eastAsia="zh-CN"/>
        </w:rPr>
        <w:t>（</w:t>
      </w:r>
      <w:r>
        <w:rPr>
          <w:rFonts w:hint="eastAsia" w:ascii="仿宋" w:hAnsi="仿宋" w:eastAsia="仿宋" w:cs="仿宋"/>
          <w:b w:val="0"/>
          <w:bCs w:val="0"/>
          <w:i w:val="0"/>
          <w:iCs w:val="0"/>
          <w:caps w:val="0"/>
          <w:color w:val="000000"/>
          <w:spacing w:val="0"/>
          <w:sz w:val="32"/>
          <w:szCs w:val="32"/>
          <w:vertAlign w:val="baseline"/>
          <w:lang w:val="en-US" w:eastAsia="zh-CN"/>
        </w:rPr>
        <w:t>5</w:t>
      </w:r>
      <w:r>
        <w:rPr>
          <w:rFonts w:hint="eastAsia" w:ascii="仿宋" w:hAnsi="仿宋" w:eastAsia="仿宋" w:cs="仿宋"/>
          <w:b w:val="0"/>
          <w:bCs w:val="0"/>
          <w:i w:val="0"/>
          <w:iCs w:val="0"/>
          <w:caps w:val="0"/>
          <w:color w:val="000000"/>
          <w:spacing w:val="0"/>
          <w:sz w:val="32"/>
          <w:szCs w:val="32"/>
          <w:vertAlign w:val="baseline"/>
          <w:lang w:eastAsia="zh-CN"/>
        </w:rPr>
        <w:t>）</w:t>
      </w:r>
      <w:r>
        <w:rPr>
          <w:rFonts w:hint="default" w:ascii="仿宋" w:hAnsi="仿宋" w:eastAsia="仿宋" w:cs="仿宋"/>
          <w:b w:val="0"/>
          <w:bCs w:val="0"/>
          <w:i w:val="0"/>
          <w:iCs w:val="0"/>
          <w:caps w:val="0"/>
          <w:color w:val="000000"/>
          <w:spacing w:val="0"/>
          <w:sz w:val="32"/>
          <w:szCs w:val="32"/>
          <w:vertAlign w:val="baseline"/>
        </w:rPr>
        <w:t>动态调整与质量保障</w:t>
      </w:r>
    </w:p>
    <w:p w14:paraId="037429BC">
      <w:pPr>
        <w:pStyle w:val="9"/>
        <w:keepNext w:val="0"/>
        <w:keepLines w:val="0"/>
        <w:widowControl/>
        <w:numPr>
          <w:ilvl w:val="0"/>
          <w:numId w:val="0"/>
        </w:numPr>
        <w:suppressLineNumbers w:val="0"/>
        <w:spacing w:before="0" w:beforeAutospacing="0" w:after="0" w:afterAutospacing="0"/>
        <w:ind w:right="0" w:rightChars="0" w:firstLine="640" w:firstLineChars="200"/>
        <w:jc w:val="both"/>
        <w:rPr>
          <w:rFonts w:hint="eastAsia" w:ascii="仿宋" w:hAnsi="仿宋" w:eastAsia="仿宋" w:cs="黑体"/>
          <w:b/>
          <w:szCs w:val="32"/>
        </w:rPr>
      </w:pPr>
      <w:r>
        <w:rPr>
          <w:rFonts w:hint="eastAsia" w:ascii="仿宋" w:hAnsi="仿宋" w:eastAsia="仿宋" w:cs="仿宋"/>
          <w:b w:val="0"/>
          <w:bCs w:val="0"/>
          <w:i w:val="0"/>
          <w:iCs w:val="0"/>
          <w:caps w:val="0"/>
          <w:color w:val="000000"/>
          <w:spacing w:val="0"/>
          <w:sz w:val="32"/>
          <w:szCs w:val="32"/>
          <w:vertAlign w:val="baseline"/>
          <w:lang w:val="en-US" w:eastAsia="zh-CN"/>
        </w:rPr>
        <w:t>通过</w:t>
      </w:r>
      <w:r>
        <w:rPr>
          <w:rFonts w:hint="default" w:ascii="仿宋" w:hAnsi="仿宋" w:eastAsia="仿宋" w:cs="仿宋"/>
          <w:b w:val="0"/>
          <w:bCs w:val="0"/>
          <w:i w:val="0"/>
          <w:iCs w:val="0"/>
          <w:caps w:val="0"/>
          <w:color w:val="000000"/>
          <w:spacing w:val="0"/>
          <w:sz w:val="32"/>
          <w:szCs w:val="32"/>
          <w:vertAlign w:val="baseline"/>
        </w:rPr>
        <w:t>需求导向的课程更新</w:t>
      </w:r>
      <w:r>
        <w:rPr>
          <w:rFonts w:hint="eastAsia" w:ascii="仿宋" w:hAnsi="仿宋" w:eastAsia="仿宋" w:cs="仿宋"/>
          <w:b w:val="0"/>
          <w:bCs w:val="0"/>
          <w:i w:val="0"/>
          <w:iCs w:val="0"/>
          <w:caps w:val="0"/>
          <w:color w:val="000000"/>
          <w:spacing w:val="0"/>
          <w:sz w:val="32"/>
          <w:szCs w:val="32"/>
          <w:vertAlign w:val="baseline"/>
          <w:lang w:val="en-US" w:eastAsia="zh-CN"/>
        </w:rPr>
        <w:t>来实现动态调整，</w:t>
      </w:r>
      <w:r>
        <w:rPr>
          <w:rFonts w:hint="default" w:ascii="仿宋" w:hAnsi="仿宋" w:eastAsia="仿宋" w:cs="仿宋"/>
          <w:b w:val="0"/>
          <w:bCs w:val="0"/>
          <w:i w:val="0"/>
          <w:iCs w:val="0"/>
          <w:caps w:val="0"/>
          <w:color w:val="000000"/>
          <w:spacing w:val="0"/>
          <w:sz w:val="32"/>
          <w:szCs w:val="32"/>
          <w:vertAlign w:val="baseline"/>
        </w:rPr>
        <w:t>定期调研行业趋势（如跨境电商、绿色贸易），淘汰过时课程，新增《碳关税与国际贸易》《AI贸易应用》等前沿课程。</w:t>
      </w:r>
      <w:r>
        <w:rPr>
          <w:rFonts w:hint="eastAsia" w:ascii="仿宋" w:hAnsi="仿宋" w:eastAsia="仿宋" w:cs="仿宋"/>
          <w:b w:val="0"/>
          <w:bCs w:val="0"/>
          <w:i w:val="0"/>
          <w:iCs w:val="0"/>
          <w:caps w:val="0"/>
          <w:color w:val="000000"/>
          <w:spacing w:val="0"/>
          <w:sz w:val="32"/>
          <w:szCs w:val="32"/>
          <w:vertAlign w:val="baseline"/>
          <w:lang w:val="en-US" w:eastAsia="zh-CN"/>
        </w:rPr>
        <w:t>在质量保障上，</w:t>
      </w:r>
      <w:r>
        <w:rPr>
          <w:rFonts w:hint="default" w:ascii="仿宋" w:hAnsi="仿宋" w:eastAsia="仿宋" w:cs="仿宋"/>
          <w:b w:val="0"/>
          <w:bCs w:val="0"/>
          <w:i w:val="0"/>
          <w:iCs w:val="0"/>
          <w:caps w:val="0"/>
          <w:color w:val="000000"/>
          <w:spacing w:val="0"/>
          <w:sz w:val="32"/>
          <w:szCs w:val="32"/>
          <w:vertAlign w:val="baseline"/>
        </w:rPr>
        <w:t>闭环质量监控：建立“学生评教—企业反馈—同行评审”机制，根据评价结果优化培养方案；设立“教学创新基金”，支持教师开发虚拟仿真实验、在线开放课程等数字化教学资源。</w:t>
      </w:r>
    </w:p>
    <w:p w14:paraId="008F8001">
      <w:pPr>
        <w:adjustRightInd w:val="0"/>
        <w:snapToGrid w:val="0"/>
        <w:spacing w:line="360" w:lineRule="auto"/>
        <w:ind w:firstLine="803" w:firstLineChars="250"/>
        <w:rPr>
          <w:rFonts w:hint="eastAsia" w:ascii="仿宋" w:hAnsi="仿宋" w:eastAsia="仿宋" w:cs="黑体"/>
          <w:b/>
          <w:szCs w:val="32"/>
          <w:lang w:eastAsia="zh-CN"/>
        </w:rPr>
      </w:pPr>
      <w:r>
        <w:rPr>
          <w:rFonts w:hint="eastAsia" w:ascii="仿宋" w:hAnsi="仿宋" w:eastAsia="仿宋" w:cs="黑体"/>
          <w:b/>
          <w:szCs w:val="32"/>
        </w:rPr>
        <w:t>五、调研结论及对策</w:t>
      </w:r>
    </w:p>
    <w:p w14:paraId="729C2079">
      <w:pPr>
        <w:spacing w:line="288" w:lineRule="auto"/>
        <w:ind w:firstLine="643" w:firstLineChars="200"/>
        <w:rPr>
          <w:rFonts w:hint="eastAsia" w:ascii="仿宋" w:hAnsi="仿宋" w:eastAsia="仿宋" w:cs="Times New Roman"/>
          <w:b/>
          <w:kern w:val="0"/>
          <w:sz w:val="32"/>
          <w:szCs w:val="32"/>
          <w:lang w:val="en-US" w:eastAsia="zh-CN" w:bidi="ar-SA"/>
        </w:rPr>
      </w:pPr>
      <w:bookmarkStart w:id="5" w:name="_Toc24217_WPSOffice_Level2"/>
      <w:bookmarkStart w:id="6" w:name="_Toc11085036"/>
      <w:r>
        <w:rPr>
          <w:rFonts w:hint="eastAsia" w:ascii="仿宋" w:hAnsi="仿宋" w:eastAsia="仿宋" w:cs="Times New Roman"/>
          <w:b/>
          <w:kern w:val="0"/>
          <w:sz w:val="32"/>
          <w:szCs w:val="32"/>
          <w:lang w:val="en-US" w:eastAsia="zh-CN" w:bidi="ar-SA"/>
        </w:rPr>
        <w:t>（一）专业培养目标</w:t>
      </w:r>
      <w:bookmarkEnd w:id="5"/>
      <w:bookmarkEnd w:id="6"/>
    </w:p>
    <w:p w14:paraId="2FBABCE1">
      <w:pPr>
        <w:spacing w:line="288" w:lineRule="auto"/>
        <w:ind w:firstLine="640" w:firstLineChars="20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国贸专业的培养目标需围绕广西外贸产业转型升级与经济高质量发展的核心需求，特别是在国际商务、跨境供应链及跨境电商等前沿领域，精准定位，为广西外贸构建的新发展格局注入强劲的人才动力。</w:t>
      </w:r>
    </w:p>
    <w:p w14:paraId="543DFA3B">
      <w:pPr>
        <w:spacing w:line="288" w:lineRule="auto"/>
        <w:ind w:firstLine="640" w:firstLineChars="20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培养目标应体现对语言能力的高标准要求，特别是强化学生在东南亚语种、粤语上的交际能力，以适应广西作为面向东盟、粤港澳大湾区合作前沿的区位优势。同时，紧跟时代步伐，着重培养学生的数字化素养与智慧化应用能力。</w:t>
      </w:r>
    </w:p>
    <w:p w14:paraId="182209E7">
      <w:pPr>
        <w:spacing w:line="288" w:lineRule="auto"/>
        <w:ind w:firstLine="640" w:firstLineChars="20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此外，目标设定需融入创新创业教育理念，激发学生的创新思维与创业潜能，成为具备批判性思维与不懈探索精神的复合型应用人才。</w:t>
      </w:r>
    </w:p>
    <w:p w14:paraId="0BD46F65">
      <w:pPr>
        <w:numPr>
          <w:ilvl w:val="0"/>
          <w:numId w:val="6"/>
        </w:numPr>
        <w:spacing w:line="288" w:lineRule="auto"/>
        <w:ind w:firstLine="643" w:firstLineChars="200"/>
        <w:rPr>
          <w:rFonts w:hint="eastAsia" w:ascii="仿宋" w:hAnsi="仿宋" w:eastAsia="仿宋" w:cs="Times New Roman"/>
          <w:b/>
          <w:kern w:val="0"/>
          <w:sz w:val="32"/>
          <w:szCs w:val="32"/>
          <w:lang w:val="en-US" w:eastAsia="zh-CN" w:bidi="ar-SA"/>
        </w:rPr>
      </w:pPr>
      <w:bookmarkStart w:id="7" w:name="_Toc22340_WPSOffice_Level2"/>
      <w:bookmarkStart w:id="8" w:name="_Toc11085037"/>
      <w:r>
        <w:rPr>
          <w:rFonts w:hint="eastAsia" w:ascii="仿宋" w:hAnsi="仿宋" w:eastAsia="仿宋" w:cs="Times New Roman"/>
          <w:b/>
          <w:kern w:val="0"/>
          <w:sz w:val="32"/>
          <w:szCs w:val="32"/>
          <w:lang w:val="en-US" w:eastAsia="zh-CN" w:bidi="ar-SA"/>
        </w:rPr>
        <w:t>专业岗位定位</w:t>
      </w:r>
      <w:bookmarkEnd w:id="7"/>
      <w:bookmarkEnd w:id="8"/>
    </w:p>
    <w:p w14:paraId="172EBF4E">
      <w:pPr>
        <w:numPr>
          <w:ilvl w:val="0"/>
          <w:numId w:val="0"/>
        </w:numPr>
        <w:spacing w:line="288" w:lineRule="auto"/>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kern w:val="0"/>
          <w:sz w:val="32"/>
          <w:szCs w:val="32"/>
          <w:lang w:val="en-US" w:eastAsia="zh-CN" w:bidi="ar-SA"/>
        </w:rPr>
        <w:t xml:space="preserve">    </w:t>
      </w:r>
      <w:r>
        <w:rPr>
          <w:rFonts w:hint="eastAsia" w:ascii="仿宋" w:hAnsi="仿宋" w:eastAsia="仿宋" w:cs="Times New Roman"/>
          <w:b w:val="0"/>
          <w:bCs/>
          <w:kern w:val="0"/>
          <w:sz w:val="32"/>
          <w:szCs w:val="32"/>
          <w:lang w:val="en-US" w:eastAsia="zh-CN" w:bidi="ar-SA"/>
        </w:rPr>
        <w:t>国贸专业岗位应将核心岗位定位聚焦于国际化制造业与现代国际服务贸易业，主要面向国际商务、跨境电商、国际单证、跨境供应链等一线外经贸岗位工作，如国际商务师、外贸跟单师、国际关务师、跨境电商运营师、国际供应链管理师，这些岗位因其工作内容的综合性、技能要求的多样性以及市场需求的持续性，具有良好的职业发展性。这些岗位不仅要求学生掌握实际操作技能，还需具备扎实的国际贸易理论知识。</w:t>
      </w:r>
    </w:p>
    <w:p w14:paraId="5DDC290D">
      <w:pPr>
        <w:numPr>
          <w:ilvl w:val="0"/>
          <w:numId w:val="0"/>
        </w:numPr>
        <w:spacing w:line="288" w:lineRule="auto"/>
        <w:ind w:firstLine="640" w:firstLineChars="200"/>
        <w:rPr>
          <w:rFonts w:hint="default"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随着全球经济一体化的深入发展，以及中国对外开放水平的不断提升，本专业在岗位定位上不应再局限于传统的出口业务，而应将进口业务置于同等重要的位置。这一转变不仅符合当前国际贸易格局的变化趋势，也为学生提供了更加多元化的职业选择和发展路径。</w:t>
      </w:r>
    </w:p>
    <w:p w14:paraId="0D00153F">
      <w:pPr>
        <w:numPr>
          <w:ilvl w:val="0"/>
          <w:numId w:val="6"/>
        </w:numPr>
        <w:spacing w:line="288" w:lineRule="auto"/>
        <w:ind w:left="0" w:leftChars="0" w:firstLine="643" w:firstLineChars="200"/>
        <w:rPr>
          <w:rFonts w:hint="eastAsia" w:ascii="仿宋" w:hAnsi="仿宋" w:eastAsia="仿宋" w:cs="Times New Roman"/>
          <w:b/>
          <w:kern w:val="0"/>
          <w:sz w:val="32"/>
          <w:szCs w:val="32"/>
          <w:lang w:val="en-US" w:eastAsia="zh-CN" w:bidi="ar-SA"/>
        </w:rPr>
      </w:pPr>
      <w:bookmarkStart w:id="9" w:name="_Toc9906_WPSOffice_Level2"/>
      <w:bookmarkStart w:id="10" w:name="_Toc11085038"/>
      <w:r>
        <w:rPr>
          <w:rFonts w:hint="eastAsia" w:ascii="仿宋" w:hAnsi="仿宋" w:eastAsia="仿宋" w:cs="Times New Roman"/>
          <w:b/>
          <w:kern w:val="0"/>
          <w:sz w:val="32"/>
          <w:szCs w:val="32"/>
          <w:lang w:val="en-US" w:eastAsia="zh-CN" w:bidi="ar-SA"/>
        </w:rPr>
        <w:t>专业核心能力</w:t>
      </w:r>
      <w:bookmarkEnd w:id="9"/>
      <w:bookmarkEnd w:id="10"/>
    </w:p>
    <w:p w14:paraId="66A6B085">
      <w:pPr>
        <w:numPr>
          <w:ilvl w:val="0"/>
          <w:numId w:val="0"/>
        </w:numPr>
        <w:spacing w:line="288" w:lineRule="auto"/>
        <w:ind w:firstLine="640" w:firstLineChars="200"/>
        <w:rPr>
          <w:rFonts w:hint="eastAsia" w:ascii="仿宋" w:hAnsi="仿宋" w:eastAsia="仿宋" w:cs="Times New Roman"/>
          <w:b/>
          <w:kern w:val="0"/>
          <w:sz w:val="32"/>
          <w:szCs w:val="32"/>
          <w:lang w:val="en-US" w:eastAsia="zh-CN" w:bidi="ar-SA"/>
        </w:rPr>
      </w:pPr>
      <w:r>
        <w:rPr>
          <w:rFonts w:hint="eastAsia" w:ascii="仿宋" w:hAnsi="仿宋" w:eastAsia="仿宋" w:cs="Times New Roman"/>
          <w:b w:val="0"/>
          <w:bCs/>
          <w:kern w:val="0"/>
          <w:sz w:val="32"/>
          <w:szCs w:val="32"/>
          <w:lang w:val="en-US" w:eastAsia="zh-CN" w:bidi="ar-SA"/>
        </w:rPr>
        <w:t>国贸专业的核心能力培养，需紧密围绕国际贸易领域的复杂性与多样性展开。学生应能够深入理解国际贸易领域的法律、规则和国际惯例，具备有效识别、评估和管理贸易风险的能力，确保企业在全球市场中安全运营；具有国际贸易全链条思维，熟练进出口贸易合同的全程管理，掌握进出口贸易合同的签订、履行、变更和解除等流程，确保交易双方的权益得到保障，促进交易顺利进行；顺应数字化趋势，熟练掌握跨境电商平台运营，运用数智化工具进行选品、营销策略设计与数据分析，精准把握市场动态，提升产品竞争力与市场占有率；熟悉外贸单证数字化处理流程，确保合规高效；具备敏锐的市场洞察力，能够发现和识别商业机会，并组织各种资源提供产品或服务创造价值，同时，具备基本的创业管理能力，能够识别和应对创业过程中的各类风险。</w:t>
      </w:r>
    </w:p>
    <w:p w14:paraId="28B37F36">
      <w:pPr>
        <w:spacing w:line="288" w:lineRule="auto"/>
        <w:ind w:firstLine="643" w:firstLineChars="200"/>
        <w:rPr>
          <w:rFonts w:hint="eastAsia" w:ascii="仿宋" w:hAnsi="仿宋" w:eastAsia="仿宋" w:cs="Times New Roman"/>
          <w:b/>
          <w:kern w:val="0"/>
          <w:sz w:val="32"/>
          <w:szCs w:val="32"/>
          <w:lang w:val="en-US" w:eastAsia="zh-CN" w:bidi="ar-SA"/>
        </w:rPr>
      </w:pPr>
      <w:bookmarkStart w:id="11" w:name="_Toc11085039"/>
      <w:bookmarkStart w:id="12" w:name="_Toc23496_WPSOffice_Level2"/>
      <w:r>
        <w:rPr>
          <w:rFonts w:hint="eastAsia" w:ascii="仿宋" w:hAnsi="仿宋" w:eastAsia="仿宋" w:cs="Times New Roman"/>
          <w:b/>
          <w:kern w:val="0"/>
          <w:sz w:val="32"/>
          <w:szCs w:val="32"/>
          <w:lang w:val="en-US" w:eastAsia="zh-CN" w:bidi="ar-SA"/>
        </w:rPr>
        <w:t>（四）专业课程设置</w:t>
      </w:r>
      <w:bookmarkEnd w:id="11"/>
      <w:bookmarkEnd w:id="12"/>
    </w:p>
    <w:p w14:paraId="6F06B747">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为了进一步提升国贸专业学生的综合素质与竞争力，在专业基础课程中应进一步强化英语课程的教学，特别是强化商务英语的沟通训练，通过模拟商务谈判、跨文化交际等实践环节，切实提高学生的英语应用能力，为学生在国际贸易领域的顺畅交流奠定坚实的语言基础。</w:t>
      </w:r>
    </w:p>
    <w:p w14:paraId="5E9A5969">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专业核心课程应在原有基础上突出双循环新发展格局下对进口知识和能力的培养，可增加跨境供应链管理、国际金融类课程，引导学生形成全球性思维。</w:t>
      </w:r>
    </w:p>
    <w:p w14:paraId="39154943">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所有专业课都应注重融入数字化内容，注重人工智能技术在国际贸易中的应用，培养学生在跨境支付、贸易融资、关务管理等场景中的操作与决策能力。使学生能够紧跟时代步伐，掌握先进的国际贸易技能。</w:t>
      </w:r>
    </w:p>
    <w:p w14:paraId="3E2B1A45">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在选修课中鼓励学生拓宽语言技能，提供多种第二外语选修课程，如东南亚语种等。建议将《国际商法》作为选修课程，让学生了解国际贸易中的法律框架、争议解决机制及合规要求，培养学生的法律意识和风险防控能力。</w:t>
      </w:r>
    </w:p>
    <w:p w14:paraId="5C16C910">
      <w:pPr>
        <w:pStyle w:val="4"/>
        <w:ind w:firstLine="640"/>
        <w:rPr>
          <w:rFonts w:hint="eastAsia" w:ascii="仿宋" w:hAnsi="仿宋" w:eastAsia="仿宋" w:cs="Times New Roman"/>
          <w:b/>
          <w:kern w:val="0"/>
          <w:sz w:val="32"/>
          <w:szCs w:val="32"/>
          <w:lang w:val="en-US" w:eastAsia="zh-CN" w:bidi="ar-SA"/>
        </w:rPr>
      </w:pPr>
      <w:r>
        <w:rPr>
          <w:rFonts w:hint="eastAsia" w:ascii="仿宋" w:hAnsi="仿宋" w:eastAsia="仿宋" w:cs="Times New Roman"/>
          <w:b/>
          <w:kern w:val="0"/>
          <w:sz w:val="32"/>
          <w:szCs w:val="32"/>
          <w:lang w:val="en-US" w:eastAsia="zh-CN" w:bidi="ar-SA"/>
        </w:rPr>
        <w:t>（五）实践教学体系</w:t>
      </w:r>
    </w:p>
    <w:p w14:paraId="45C1E785">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 xml:space="preserve"> 一是要构建阶梯式实践教学体系。采用“六阶贯通”培养路径，系统设计从基础实训—单项实训—综合实训—生产性实训—毕业设计—岗位实习的全链条实践环节。重点打造东盟特色跨境电商生产性实训基地，将RCEP规则应用、跨境直播等新业态技能融入各阶段，确保能力培养呈现递进式提升，实现从仿真模拟到真实业务的无缝衔接。</w:t>
      </w:r>
    </w:p>
    <w:p w14:paraId="39F5CD93">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二是推行“五真四融”实训模式。深化“真项目、真环境、真流程、真考核、真就业”改革，每年引入一定数量的企业真实案例。同步推进产教融合、专创融合、赛创融合、课证融合建设，将POCIB大赛标准转化为常态化实训模块。</w:t>
      </w:r>
    </w:p>
    <w:p w14:paraId="133657B0">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三是实施毕业设计双闭环管理。建立“企业出题-师生解题-成果应用”的闭环机制，组建企业真题库，要求选题100%来自区域外贸企业实际问题。设立成果转化基金，对优秀设计方案给予孵化支持，确保年度成果转化率。</w:t>
      </w:r>
    </w:p>
    <w:p w14:paraId="57408128">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四是开发模块化实习课程群。按照“知岗-适岗-顶岗-变岗”四阶段开发标准化实习课程包，配套VR认知实训、企业工单课程等教学资源。建立实习表现与就业岗位的精准匹配机制，实现实习转就业率的目标。</w:t>
      </w:r>
    </w:p>
    <w:p w14:paraId="31EB901B">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五是建设数字化实践管理平台。开发集成企业工单管理、实习过程监控、成果追踪分析的智能系统。对接海关“单一窗口”等政务平台，实时更新东盟国家贸易政策数据，为实践教学提供动态数据支撑和智能评价服务。</w:t>
      </w:r>
    </w:p>
    <w:p w14:paraId="6F12E576">
      <w:pPr>
        <w:pStyle w:val="4"/>
        <w:ind w:firstLine="64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六是健全多元评价保障机制和强化校企协同实施保障。构建由企业KPI、平台大数据、发展性评价组成的三维质量监控体系。重点考核业务转化价值、岗位胜任力等核心指标，建立评价-反馈-改进的持续优化机制。明确行业专家参与教学的权责利。</w:t>
      </w:r>
    </w:p>
    <w:p w14:paraId="69BA2FBA">
      <w:pPr>
        <w:pStyle w:val="4"/>
        <w:ind w:firstLine="640"/>
        <w:rPr>
          <w:rFonts w:hint="eastAsia" w:ascii="仿宋" w:hAnsi="仿宋" w:eastAsia="仿宋" w:cs="Times New Roman"/>
          <w:b/>
          <w:kern w:val="0"/>
          <w:sz w:val="32"/>
          <w:szCs w:val="32"/>
          <w:lang w:val="en-US" w:eastAsia="zh-CN" w:bidi="ar-SA"/>
        </w:rPr>
      </w:pPr>
      <w:r>
        <w:rPr>
          <w:rFonts w:hint="eastAsia" w:ascii="仿宋" w:hAnsi="仿宋" w:eastAsia="仿宋" w:cs="Times New Roman"/>
          <w:b/>
          <w:kern w:val="0"/>
          <w:sz w:val="32"/>
          <w:szCs w:val="32"/>
          <w:lang w:val="en-US" w:eastAsia="zh-CN" w:bidi="ar-SA"/>
        </w:rPr>
        <w:t>（六）毕业要求</w:t>
      </w:r>
    </w:p>
    <w:p w14:paraId="2D4EDB8A">
      <w:pPr>
        <w:spacing w:line="288" w:lineRule="auto"/>
        <w:ind w:firstLine="640" w:firstLineChars="200"/>
        <w:rPr>
          <w:rFonts w:hint="eastAsia" w:ascii="仿宋" w:hAnsi="仿宋" w:eastAsia="仿宋" w:cs="Times New Roman"/>
          <w:b w:val="0"/>
          <w:bCs/>
          <w:kern w:val="0"/>
          <w:sz w:val="32"/>
          <w:szCs w:val="32"/>
          <w:lang w:val="en-US" w:eastAsia="zh-CN" w:bidi="ar-SA"/>
        </w:rPr>
      </w:pPr>
      <w:bookmarkStart w:id="13" w:name="_Toc11085042"/>
      <w:bookmarkStart w:id="14" w:name="_Toc11653_WPSOffice_Level2"/>
      <w:bookmarkStart w:id="15" w:name="_Toc11085041"/>
      <w:bookmarkStart w:id="16" w:name="_Toc25953_WPSOffice_Level2"/>
      <w:r>
        <w:rPr>
          <w:rFonts w:hint="eastAsia" w:ascii="仿宋" w:hAnsi="仿宋" w:eastAsia="仿宋" w:cs="Times New Roman"/>
          <w:b w:val="0"/>
          <w:bCs/>
          <w:kern w:val="0"/>
          <w:sz w:val="32"/>
          <w:szCs w:val="32"/>
          <w:lang w:val="en-US" w:eastAsia="zh-CN" w:bidi="ar-SA"/>
        </w:rPr>
        <w:t>国贸专业毕业要求应强调学生职业素养的养成，包括职业道德、责任意识及全球视野的塑造。毕业生需具有较强的问题识别、分析与解决能力，特别是在复杂多变的国际贸易环境中，能够综合运用所学知识创新性地应对挑战。同时，注重培养学生的团队合作精神，在多元文化背景下能够有效沟通与协作，共同推动项目目标的实现。还应鼓励学生树立终身学习的理念，积极拥抱数字化时代，不断提升自我，以适应国际贸易领域的快速变革与发展。</w:t>
      </w:r>
    </w:p>
    <w:p w14:paraId="39778370">
      <w:pPr>
        <w:spacing w:line="288" w:lineRule="auto"/>
        <w:ind w:firstLine="643" w:firstLineChars="200"/>
        <w:rPr>
          <w:rFonts w:hint="eastAsia" w:ascii="仿宋" w:hAnsi="仿宋" w:eastAsia="仿宋" w:cs="Times New Roman"/>
          <w:b/>
          <w:kern w:val="0"/>
          <w:sz w:val="32"/>
          <w:szCs w:val="32"/>
          <w:lang w:val="en-US" w:eastAsia="zh-CN" w:bidi="ar-SA"/>
        </w:rPr>
      </w:pPr>
      <w:r>
        <w:rPr>
          <w:rFonts w:hint="eastAsia" w:ascii="仿宋" w:hAnsi="仿宋" w:eastAsia="仿宋" w:cs="Times New Roman"/>
          <w:b/>
          <w:kern w:val="0"/>
          <w:sz w:val="32"/>
          <w:szCs w:val="32"/>
          <w:lang w:val="en-US" w:eastAsia="zh-CN" w:bidi="ar-SA"/>
        </w:rPr>
        <w:t>（七）</w:t>
      </w:r>
      <w:bookmarkEnd w:id="13"/>
      <w:bookmarkEnd w:id="14"/>
      <w:r>
        <w:rPr>
          <w:rFonts w:hint="eastAsia" w:ascii="仿宋" w:hAnsi="仿宋" w:eastAsia="仿宋" w:cs="Times New Roman"/>
          <w:b/>
          <w:kern w:val="0"/>
          <w:sz w:val="32"/>
          <w:szCs w:val="32"/>
          <w:lang w:val="en-US" w:eastAsia="zh-CN" w:bidi="ar-SA"/>
        </w:rPr>
        <w:t>师资队伍</w:t>
      </w:r>
      <w:bookmarkEnd w:id="15"/>
      <w:bookmarkEnd w:id="16"/>
    </w:p>
    <w:p w14:paraId="43E7FD53">
      <w:pPr>
        <w:spacing w:line="288" w:lineRule="auto"/>
        <w:ind w:firstLine="640" w:firstLineChars="20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需按照本科师资配备要求重构教学团队，探索校企混编。近年来，国贸专业通过外部引才与内部培育并举，显著增强了师资队伍实力，高级职称与博士学位教师比例大幅提升，双师比例达95%，有效优化了师资结构。为适应人才培养的需求，应进一步加大人才引进力度，特别是博士研究生及高层次人才的引进，实施专家型领军人才引培计划，建设博士工作站等平台，鼓励教师深造，提升学历层次。同时，拓宽师资来源，构建“专家+大师”兼职教师体系，深化校企合作，促进教师与企业双向流动，打造双师型高水平教师队伍，确保教师既能胜任理论教学，又能解决企业实际问题。此外，强化专业带头人梯队建设，加速中青年骨干培养，依托重大项目与境内外研修机会，提升青年教师的教育教学与科研能力，并借助桂港合作办学优势，推动师资队伍国际化发展，构建具有国际视野与创新能力的特色师资队伍。</w:t>
      </w:r>
    </w:p>
    <w:p w14:paraId="050EFDAC">
      <w:pPr>
        <w:spacing w:line="288" w:lineRule="auto"/>
        <w:ind w:firstLine="643" w:firstLineChars="200"/>
        <w:rPr>
          <w:rFonts w:hint="eastAsia" w:ascii="仿宋" w:hAnsi="仿宋" w:eastAsia="仿宋" w:cs="Times New Roman"/>
          <w:b/>
          <w:kern w:val="0"/>
          <w:sz w:val="32"/>
          <w:szCs w:val="32"/>
          <w:lang w:val="en-US" w:eastAsia="zh-CN" w:bidi="ar-SA"/>
        </w:rPr>
      </w:pPr>
      <w:r>
        <w:rPr>
          <w:rFonts w:hint="eastAsia" w:ascii="仿宋" w:hAnsi="仿宋" w:eastAsia="仿宋" w:cs="Times New Roman"/>
          <w:b/>
          <w:kern w:val="0"/>
          <w:sz w:val="32"/>
          <w:szCs w:val="32"/>
          <w:lang w:val="en-US" w:eastAsia="zh-CN" w:bidi="ar-SA"/>
        </w:rPr>
        <w:t>（八）教学条件</w:t>
      </w:r>
    </w:p>
    <w:p w14:paraId="0653057A">
      <w:pPr>
        <w:spacing w:line="288" w:lineRule="auto"/>
        <w:ind w:firstLine="640" w:firstLineChars="20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国贸专业通过自治区级国际经济与贸易示范特色专业及实训基地建设，实训教学条件和环境得到极大的提升，生均教学科研仪器设备值1.43万元，已达到职业本科专业生均教学科研仪器设备值不低于1万元的要求，应继续保持有稳定的可持续使用的专业建设经费并逐年增长。</w:t>
      </w:r>
    </w:p>
    <w:p w14:paraId="1ACC6C7F">
      <w:pPr>
        <w:spacing w:line="288" w:lineRule="auto"/>
        <w:ind w:firstLine="640" w:firstLineChars="20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专业应配备符合时代发展、满足专业教学需要的教学场所和教学设施。在现有校内实训基地、产教融合型实训基地以及国贸专业创新创业平台基础上，需要配备软件和数字资源来满足专业建设、教学管理、信息化教学、学生自主学习等的需要，达到国家发布的有关专业实训教学条件建设标准（仪器设备配备规范）要求，来满足本专业学生开展包括国际贸易、跨境电商、外贸制单、跨境通关、国际货代等业务环节的高度仿真环境的实训教学以及专创融合的创新创业项目。</w:t>
      </w:r>
    </w:p>
    <w:p w14:paraId="065DA9BF">
      <w:pPr>
        <w:spacing w:line="288" w:lineRule="auto"/>
        <w:ind w:firstLine="640" w:firstLineChars="200"/>
        <w:rPr>
          <w:rFonts w:hint="eastAsia" w:ascii="仿宋" w:hAnsi="仿宋" w:eastAsia="仿宋" w:cs="Times New Roman"/>
          <w:b w:val="0"/>
          <w:bCs/>
          <w:kern w:val="0"/>
          <w:sz w:val="32"/>
          <w:szCs w:val="32"/>
          <w:lang w:val="en-US" w:eastAsia="zh-CN" w:bidi="ar-SA"/>
        </w:rPr>
      </w:pPr>
      <w:r>
        <w:rPr>
          <w:rFonts w:hint="eastAsia" w:ascii="仿宋" w:hAnsi="仿宋" w:eastAsia="仿宋" w:cs="Times New Roman"/>
          <w:b w:val="0"/>
          <w:bCs/>
          <w:kern w:val="0"/>
          <w:sz w:val="32"/>
          <w:szCs w:val="32"/>
          <w:lang w:val="en-US" w:eastAsia="zh-CN" w:bidi="ar-SA"/>
        </w:rPr>
        <w:t>专业还需构建以校内产教深度融合实训基地为载体的专业实践教学体系和校企协同创新中心为载体的科技创新体系，为专业的人才培养及课程体系改革、科研活动、咨询服务、社会培训服务、技术创新等提供有力的保障和支撑。</w:t>
      </w:r>
    </w:p>
    <w:p w14:paraId="16882B81">
      <w:pPr>
        <w:spacing w:line="288" w:lineRule="auto"/>
        <w:ind w:firstLine="643" w:firstLineChars="200"/>
        <w:rPr>
          <w:rFonts w:hint="eastAsia"/>
          <w:lang w:val="en-US" w:eastAsia="zh-CN"/>
        </w:rPr>
      </w:pPr>
      <w:r>
        <w:rPr>
          <w:rFonts w:hint="eastAsia" w:ascii="仿宋" w:hAnsi="仿宋" w:eastAsia="仿宋" w:cs="Times New Roman"/>
          <w:b/>
          <w:kern w:val="0"/>
          <w:sz w:val="32"/>
          <w:szCs w:val="32"/>
          <w:lang w:val="en-US" w:eastAsia="zh-CN" w:bidi="ar-SA"/>
        </w:rPr>
        <w:t>（九）质量保障</w:t>
      </w:r>
    </w:p>
    <w:p w14:paraId="43798806">
      <w:pPr>
        <w:spacing w:line="288" w:lineRule="auto"/>
        <w:ind w:firstLine="640" w:firstLineChars="200"/>
        <w:rPr>
          <w:rFonts w:hint="eastAsia" w:ascii="仿宋" w:hAnsi="仿宋" w:eastAsia="仿宋" w:cs="仿宋"/>
          <w:szCs w:val="32"/>
        </w:rPr>
      </w:pPr>
      <w:r>
        <w:rPr>
          <w:rFonts w:hint="eastAsia" w:ascii="仿宋" w:hAnsi="仿宋" w:eastAsia="仿宋" w:cs="仿宋"/>
          <w:szCs w:val="32"/>
          <w:lang w:val="en-US" w:eastAsia="zh-CN"/>
        </w:rPr>
        <w:t>1.建立</w:t>
      </w:r>
      <w:r>
        <w:rPr>
          <w:rFonts w:hint="eastAsia" w:ascii="仿宋" w:hAnsi="仿宋" w:eastAsia="仿宋" w:cs="仿宋"/>
          <w:szCs w:val="32"/>
        </w:rPr>
        <w:t>健全的可持续发展</w:t>
      </w:r>
      <w:r>
        <w:rPr>
          <w:rFonts w:hint="eastAsia" w:ascii="仿宋" w:hAnsi="仿宋" w:eastAsia="仿宋" w:cs="仿宋"/>
          <w:szCs w:val="32"/>
          <w:lang w:eastAsia="zh-CN"/>
        </w:rPr>
        <w:t>的</w:t>
      </w:r>
      <w:r>
        <w:rPr>
          <w:rFonts w:hint="eastAsia" w:ascii="仿宋" w:hAnsi="仿宋" w:eastAsia="仿宋" w:cs="仿宋"/>
          <w:szCs w:val="32"/>
        </w:rPr>
        <w:t>制度保障</w:t>
      </w:r>
    </w:p>
    <w:p w14:paraId="17A394D3">
      <w:pPr>
        <w:spacing w:line="288" w:lineRule="auto"/>
        <w:ind w:firstLine="640" w:firstLineChars="200"/>
        <w:rPr>
          <w:rFonts w:hint="eastAsia" w:ascii="仿宋" w:hAnsi="仿宋" w:eastAsia="仿宋" w:cs="仿宋"/>
          <w:szCs w:val="32"/>
        </w:rPr>
      </w:pPr>
      <w:r>
        <w:rPr>
          <w:rFonts w:hint="eastAsia" w:ascii="仿宋" w:hAnsi="仿宋" w:eastAsia="仿宋" w:cs="仿宋"/>
          <w:szCs w:val="32"/>
          <w:lang w:eastAsia="zh-CN"/>
        </w:rPr>
        <w:t>（</w:t>
      </w:r>
      <w:r>
        <w:rPr>
          <w:rFonts w:hint="eastAsia" w:ascii="仿宋" w:hAnsi="仿宋" w:eastAsia="仿宋" w:cs="仿宋"/>
          <w:szCs w:val="32"/>
          <w:lang w:val="en-US" w:eastAsia="zh-CN"/>
        </w:rPr>
        <w:t>1</w:t>
      </w:r>
      <w:r>
        <w:rPr>
          <w:rFonts w:hint="eastAsia" w:ascii="仿宋" w:hAnsi="仿宋" w:eastAsia="仿宋" w:cs="仿宋"/>
          <w:szCs w:val="32"/>
          <w:lang w:eastAsia="zh-CN"/>
        </w:rPr>
        <w:t>）</w:t>
      </w:r>
      <w:r>
        <w:rPr>
          <w:rFonts w:hint="eastAsia" w:ascii="仿宋" w:hAnsi="仿宋" w:eastAsia="仿宋" w:cs="仿宋"/>
          <w:szCs w:val="32"/>
        </w:rPr>
        <w:t>组织保障</w:t>
      </w:r>
      <w:r>
        <w:rPr>
          <w:rFonts w:hint="eastAsia" w:ascii="仿宋" w:hAnsi="仿宋" w:eastAsia="仿宋" w:cs="仿宋"/>
          <w:szCs w:val="32"/>
          <w:lang w:eastAsia="zh-CN"/>
        </w:rPr>
        <w:t>。</w:t>
      </w:r>
      <w:r>
        <w:rPr>
          <w:rFonts w:hint="eastAsia" w:ascii="仿宋" w:hAnsi="仿宋" w:eastAsia="仿宋" w:cs="仿宋"/>
          <w:szCs w:val="32"/>
        </w:rPr>
        <w:t>为加快推进职业教育本科层次建设工作，全面提升学校整体办学质量，开展以下</w:t>
      </w:r>
      <w:r>
        <w:rPr>
          <w:rFonts w:hint="eastAsia" w:ascii="仿宋" w:hAnsi="仿宋" w:eastAsia="仿宋" w:cs="仿宋"/>
          <w:szCs w:val="32"/>
          <w:lang w:val="en-US" w:eastAsia="zh-CN"/>
        </w:rPr>
        <w:t>六</w:t>
      </w:r>
      <w:r>
        <w:rPr>
          <w:rFonts w:hint="eastAsia" w:ascii="仿宋" w:hAnsi="仿宋" w:eastAsia="仿宋" w:cs="仿宋"/>
          <w:szCs w:val="32"/>
        </w:rPr>
        <w:t>个方面工作：加强基础设施建设，稳定办学规模；加强学科与专业建设，提升教学水平；加强师资队伍建设，夯实教学保障；加强科技创新，提升科研服务水平；争取办学经费投入，保障经费来源稳定。坚持把职业教育本科层次专业建设与学校各项工作任务及年度工作、日常管理结合起来，进一步统一思想、责任到人，全面推进职业本科的专业建设工作</w:t>
      </w:r>
      <w:r>
        <w:rPr>
          <w:rFonts w:hint="eastAsia" w:ascii="仿宋" w:hAnsi="仿宋" w:eastAsia="仿宋" w:cs="仿宋"/>
          <w:szCs w:val="32"/>
          <w:lang w:eastAsia="zh-CN"/>
        </w:rPr>
        <w:t>；</w:t>
      </w:r>
      <w:r>
        <w:rPr>
          <w:rFonts w:hint="eastAsia" w:ascii="仿宋" w:hAnsi="仿宋" w:eastAsia="仿宋" w:cs="仿宋"/>
          <w:szCs w:val="32"/>
        </w:rPr>
        <w:t>构建专业质量管理体系，区分本科与专科管理差异。</w:t>
      </w:r>
    </w:p>
    <w:p w14:paraId="5B80B7B0">
      <w:pPr>
        <w:spacing w:line="288" w:lineRule="auto"/>
        <w:ind w:firstLine="640" w:firstLineChars="200"/>
        <w:rPr>
          <w:rFonts w:hint="eastAsia" w:ascii="仿宋" w:hAnsi="仿宋" w:eastAsia="仿宋" w:cs="仿宋"/>
          <w:szCs w:val="32"/>
          <w:lang w:val="en-US" w:eastAsia="zh-CN"/>
        </w:rPr>
      </w:pPr>
      <w:r>
        <w:rPr>
          <w:rFonts w:hint="eastAsia" w:ascii="仿宋" w:hAnsi="仿宋" w:eastAsia="仿宋" w:cs="仿宋"/>
          <w:szCs w:val="32"/>
          <w:lang w:val="en-US" w:eastAsia="zh-CN"/>
        </w:rPr>
        <w:t>（2）制度保障。首先，需建立科学严谨的教学管理机制，确保国贸专业建设质量。应以坚持职业教育办学为导向，遵循技术技能人才培养规律，按照教学标准课程的特点，合理安排教学活动和评价办法，并明确教学条件、师资配备等。其次，构建国贸专业创新创业人才培养体系。应在专业人才培养模式上进行改革突破，将专业教育与创新创业教育有效结合，致力于构建专创融合的专业创新创业人才培养体系，探索职业本科创新创业教育特色，提升国贸专业人才培养质量。第三，应建立三个层次的专业特色化动态考评机制。专业从学生、课程、专业三个方面建立评价机制，分别是校行企共同考核人才培养的评价机制、多维科学的专业课程建设周期性评估机制、多元动态的专业建设主体评价机制，形成科学全面的专业人才评价体系。</w:t>
      </w:r>
    </w:p>
    <w:p w14:paraId="2BD49944">
      <w:pPr>
        <w:spacing w:line="288" w:lineRule="auto"/>
        <w:ind w:firstLine="640" w:firstLineChars="200"/>
        <w:rPr>
          <w:rFonts w:hint="eastAsia" w:ascii="仿宋" w:hAnsi="仿宋" w:eastAsia="仿宋" w:cs="仿宋"/>
          <w:szCs w:val="32"/>
          <w:lang w:val="en-US" w:eastAsia="zh-CN"/>
        </w:rPr>
      </w:pPr>
      <w:r>
        <w:rPr>
          <w:rFonts w:hint="eastAsia" w:ascii="仿宋" w:hAnsi="仿宋" w:eastAsia="仿宋" w:cs="仿宋"/>
          <w:szCs w:val="32"/>
          <w:lang w:eastAsia="zh-CN"/>
        </w:rPr>
        <w:t>（</w:t>
      </w:r>
      <w:r>
        <w:rPr>
          <w:rFonts w:hint="eastAsia" w:ascii="仿宋" w:hAnsi="仿宋" w:eastAsia="仿宋" w:cs="仿宋"/>
          <w:szCs w:val="32"/>
          <w:lang w:val="en-US" w:eastAsia="zh-CN"/>
        </w:rPr>
        <w:t>3</w:t>
      </w:r>
      <w:r>
        <w:rPr>
          <w:rFonts w:hint="eastAsia" w:ascii="仿宋" w:hAnsi="仿宋" w:eastAsia="仿宋" w:cs="仿宋"/>
          <w:szCs w:val="32"/>
          <w:lang w:eastAsia="zh-CN"/>
        </w:rPr>
        <w:t>）</w:t>
      </w:r>
      <w:r>
        <w:rPr>
          <w:rFonts w:hint="eastAsia" w:ascii="仿宋" w:hAnsi="仿宋" w:eastAsia="仿宋" w:cs="仿宋"/>
          <w:szCs w:val="32"/>
        </w:rPr>
        <w:t>经费保障和管理</w:t>
      </w:r>
    </w:p>
    <w:p w14:paraId="213457A7">
      <w:pPr>
        <w:spacing w:line="288" w:lineRule="auto"/>
        <w:ind w:firstLine="640" w:firstLineChars="200"/>
        <w:rPr>
          <w:rFonts w:hint="eastAsia" w:ascii="仿宋" w:hAnsi="仿宋" w:eastAsia="仿宋" w:cs="仿宋"/>
          <w:szCs w:val="32"/>
        </w:rPr>
      </w:pPr>
      <w:r>
        <w:rPr>
          <w:rFonts w:hint="eastAsia" w:ascii="仿宋" w:hAnsi="仿宋" w:eastAsia="仿宋" w:cs="仿宋"/>
          <w:szCs w:val="32"/>
        </w:rPr>
        <w:t>一是为推进专业的升本建设，学校</w:t>
      </w:r>
      <w:r>
        <w:rPr>
          <w:rFonts w:hint="eastAsia" w:ascii="仿宋" w:hAnsi="仿宋" w:eastAsia="仿宋" w:cs="仿宋"/>
          <w:szCs w:val="32"/>
          <w:lang w:val="en-US" w:eastAsia="zh-CN"/>
        </w:rPr>
        <w:t>需</w:t>
      </w:r>
      <w:r>
        <w:rPr>
          <w:rFonts w:hint="eastAsia" w:ascii="仿宋" w:hAnsi="仿宋" w:eastAsia="仿宋" w:cs="仿宋"/>
          <w:szCs w:val="32"/>
        </w:rPr>
        <w:t>进行可持续性的投入，用于人才引进、专业课程开发、资源库建设、实训基地提升和国际化办学等。二是严格经费的使用和管理。为了保证经费的合理高效使用和各项目的顺利实施，</w:t>
      </w:r>
      <w:r>
        <w:rPr>
          <w:rFonts w:hint="eastAsia" w:ascii="仿宋" w:hAnsi="仿宋" w:eastAsia="仿宋" w:cs="仿宋"/>
          <w:szCs w:val="32"/>
          <w:lang w:val="en-US" w:eastAsia="zh-CN"/>
        </w:rPr>
        <w:t>需</w:t>
      </w:r>
      <w:r>
        <w:rPr>
          <w:rFonts w:hint="eastAsia" w:ascii="仿宋" w:hAnsi="仿宋" w:eastAsia="仿宋" w:cs="仿宋"/>
          <w:szCs w:val="32"/>
        </w:rPr>
        <w:t>根据项目经费使用规定，制定详细的建设经费项目预算，各项经费预算安排科学、合理。</w:t>
      </w:r>
      <w:r>
        <w:rPr>
          <w:rFonts w:hint="eastAsia" w:ascii="仿宋" w:hAnsi="仿宋" w:eastAsia="仿宋" w:cs="仿宋"/>
          <w:szCs w:val="32"/>
          <w:lang w:val="en-US" w:eastAsia="zh-CN"/>
        </w:rPr>
        <w:t>还应</w:t>
      </w:r>
      <w:r>
        <w:rPr>
          <w:rFonts w:hint="eastAsia" w:ascii="仿宋" w:hAnsi="仿宋" w:eastAsia="仿宋" w:cs="仿宋"/>
          <w:szCs w:val="32"/>
        </w:rPr>
        <w:t>明确相应项目实施的第一责任人，确保各个项目的建设能够按照建设方案和任务书的要求落实到位，保证资金使用效益。</w:t>
      </w:r>
    </w:p>
    <w:p w14:paraId="6BF93AF2">
      <w:pPr>
        <w:numPr>
          <w:ilvl w:val="0"/>
          <w:numId w:val="0"/>
        </w:numPr>
        <w:spacing w:line="288" w:lineRule="auto"/>
        <w:ind w:firstLine="640" w:firstLineChars="200"/>
        <w:rPr>
          <w:rFonts w:hint="eastAsia" w:ascii="仿宋" w:hAnsi="仿宋" w:eastAsia="仿宋" w:cs="仿宋"/>
          <w:szCs w:val="32"/>
        </w:rPr>
      </w:pPr>
      <w:r>
        <w:rPr>
          <w:rFonts w:hint="eastAsia" w:ascii="仿宋" w:hAnsi="仿宋" w:eastAsia="仿宋" w:cs="仿宋"/>
          <w:szCs w:val="32"/>
          <w:lang w:val="en-US" w:eastAsia="zh-CN"/>
        </w:rPr>
        <w:t>2.制定</w:t>
      </w:r>
      <w:r>
        <w:rPr>
          <w:rFonts w:hint="eastAsia" w:ascii="仿宋" w:hAnsi="仿宋" w:eastAsia="仿宋" w:cs="仿宋"/>
          <w:szCs w:val="32"/>
        </w:rPr>
        <w:t>可行的专业发展规划</w:t>
      </w:r>
    </w:p>
    <w:p w14:paraId="01C56DE1">
      <w:pPr>
        <w:numPr>
          <w:ilvl w:val="0"/>
          <w:numId w:val="0"/>
        </w:numPr>
        <w:spacing w:line="288" w:lineRule="auto"/>
        <w:rPr>
          <w:rFonts w:hint="eastAsia" w:ascii="仿宋" w:hAnsi="仿宋" w:eastAsia="仿宋" w:cs="仿宋"/>
          <w:szCs w:val="32"/>
          <w:lang w:val="en-US" w:eastAsia="zh-CN"/>
        </w:rPr>
      </w:pPr>
      <w:r>
        <w:rPr>
          <w:rFonts w:hint="eastAsia" w:ascii="仿宋" w:hAnsi="仿宋" w:eastAsia="仿宋" w:cs="仿宋"/>
          <w:szCs w:val="32"/>
          <w:lang w:val="en-US" w:eastAsia="zh-CN"/>
        </w:rPr>
        <w:t xml:space="preserve">   （1）确立建设目标</w:t>
      </w:r>
    </w:p>
    <w:p w14:paraId="066F827C">
      <w:pPr>
        <w:numPr>
          <w:ilvl w:val="0"/>
          <w:numId w:val="0"/>
        </w:numPr>
        <w:spacing w:line="288" w:lineRule="auto"/>
        <w:ind w:firstLine="640" w:firstLineChars="200"/>
        <w:rPr>
          <w:rFonts w:hint="eastAsia" w:ascii="仿宋" w:hAnsi="仿宋" w:eastAsia="仿宋" w:cs="仿宋"/>
          <w:szCs w:val="32"/>
          <w:lang w:val="en-US" w:eastAsia="zh-CN"/>
        </w:rPr>
      </w:pPr>
      <w:r>
        <w:rPr>
          <w:rFonts w:hint="eastAsia" w:ascii="仿宋" w:hAnsi="仿宋" w:eastAsia="仿宋" w:cs="仿宋"/>
          <w:szCs w:val="32"/>
          <w:lang w:val="en-US" w:eastAsia="zh-CN"/>
        </w:rPr>
        <w:t>以着力推动高水平开放高质量发展为指引，向海图强，全力服务广西打造国内国际双循环市场经营便利地的决策部署，面向中国－东盟自由贸易区和RCEP建设，对接广西国际化制造业和现代国际服务贸易产业高端，建设国际经济与贸易专业职业教育本科，创新“产业引领、内外联动、理实一体”的国际化人才培养模式，为广西国际经贸合作高质量发展提供强大人才支撑和技术创新服务的优质特色职业教育本科专业。</w:t>
      </w:r>
    </w:p>
    <w:p w14:paraId="36616378">
      <w:pPr>
        <w:numPr>
          <w:ilvl w:val="0"/>
          <w:numId w:val="0"/>
        </w:numPr>
        <w:spacing w:line="288" w:lineRule="auto"/>
        <w:ind w:leftChars="200"/>
        <w:rPr>
          <w:rFonts w:hint="eastAsia" w:ascii="仿宋" w:hAnsi="仿宋" w:eastAsia="仿宋" w:cs="仿宋"/>
          <w:szCs w:val="32"/>
          <w:lang w:val="en-US" w:eastAsia="zh-CN"/>
        </w:rPr>
      </w:pPr>
      <w:r>
        <w:rPr>
          <w:rFonts w:hint="eastAsia" w:ascii="仿宋" w:hAnsi="仿宋" w:eastAsia="仿宋" w:cs="仿宋"/>
          <w:szCs w:val="32"/>
          <w:lang w:val="en-US" w:eastAsia="zh-CN"/>
        </w:rPr>
        <w:t>（2）明确建设任务</w:t>
      </w:r>
    </w:p>
    <w:p w14:paraId="2A18649D">
      <w:pPr>
        <w:numPr>
          <w:ilvl w:val="0"/>
          <w:numId w:val="0"/>
        </w:numPr>
        <w:spacing w:line="288" w:lineRule="auto"/>
        <w:ind w:firstLine="640" w:firstLineChars="200"/>
        <w:rPr>
          <w:rFonts w:hint="eastAsia" w:ascii="仿宋" w:hAnsi="仿宋" w:eastAsia="仿宋" w:cs="仿宋"/>
          <w:szCs w:val="32"/>
          <w:lang w:val="en-US" w:eastAsia="zh-CN"/>
        </w:rPr>
      </w:pPr>
      <w:r>
        <w:rPr>
          <w:rFonts w:hint="eastAsia" w:ascii="仿宋" w:hAnsi="仿宋" w:eastAsia="仿宋" w:cs="仿宋"/>
          <w:szCs w:val="32"/>
          <w:lang w:val="en-US" w:eastAsia="zh-CN"/>
        </w:rPr>
        <w:t>一是</w:t>
      </w:r>
      <w:r>
        <w:rPr>
          <w:rFonts w:hint="default" w:ascii="仿宋" w:hAnsi="仿宋" w:eastAsia="仿宋" w:cs="仿宋"/>
          <w:szCs w:val="32"/>
          <w:lang w:val="en-US" w:eastAsia="zh-CN"/>
        </w:rPr>
        <w:t>推进办学规模增长</w:t>
      </w:r>
      <w:r>
        <w:rPr>
          <w:rFonts w:hint="eastAsia" w:ascii="仿宋" w:hAnsi="仿宋" w:eastAsia="仿宋" w:cs="仿宋"/>
          <w:szCs w:val="32"/>
          <w:lang w:val="en-US" w:eastAsia="zh-CN"/>
        </w:rPr>
        <w:t>。对接广西国际化制造业和现代国际服务贸易产业发展人才需求，实现人才培养供给侧和产业需求侧结构要素全方位融合，确保培养数量及质量与区域经济社会发展技术技能人才需求的适配度，制定科学的专业发展规划，增强专业职业教育的实力和竞争力。</w:t>
      </w:r>
    </w:p>
    <w:p w14:paraId="346F893D">
      <w:pPr>
        <w:numPr>
          <w:ilvl w:val="0"/>
          <w:numId w:val="0"/>
        </w:numPr>
        <w:spacing w:line="288" w:lineRule="auto"/>
        <w:ind w:firstLine="640" w:firstLineChars="200"/>
        <w:rPr>
          <w:rFonts w:hint="eastAsia" w:ascii="仿宋" w:hAnsi="仿宋" w:eastAsia="仿宋" w:cs="仿宋"/>
          <w:szCs w:val="32"/>
          <w:lang w:val="en-US" w:eastAsia="zh-CN"/>
        </w:rPr>
      </w:pPr>
      <w:r>
        <w:rPr>
          <w:rFonts w:hint="eastAsia" w:ascii="仿宋" w:hAnsi="仿宋" w:eastAsia="仿宋" w:cs="仿宋"/>
          <w:szCs w:val="32"/>
          <w:lang w:val="en-US" w:eastAsia="zh-CN"/>
        </w:rPr>
        <w:t>二是</w:t>
      </w:r>
      <w:r>
        <w:rPr>
          <w:rFonts w:hint="default" w:ascii="仿宋" w:hAnsi="仿宋" w:eastAsia="仿宋" w:cs="仿宋"/>
          <w:szCs w:val="32"/>
          <w:lang w:val="en-US" w:eastAsia="zh-CN"/>
        </w:rPr>
        <w:t>构建新型人才培养模式</w:t>
      </w:r>
      <w:r>
        <w:rPr>
          <w:rFonts w:hint="eastAsia" w:ascii="仿宋" w:hAnsi="仿宋" w:eastAsia="仿宋" w:cs="仿宋"/>
          <w:szCs w:val="32"/>
          <w:lang w:val="en-US" w:eastAsia="zh-CN"/>
        </w:rPr>
        <w:t>。把立德树人融入思想道德教育、专业知识教育、劳动社会实践教育各环节，将品德优良的育人工程、全面发展的培养工程、优势技能的特色工程、国际要素的创新工程、劳动精神的实践工程融入育人全过程。依托广西国际经济贸易学会和广西报关协会平台，形成产业链到人才链的产教育人机制，实现人才培养与产业发展同频共振。</w:t>
      </w:r>
    </w:p>
    <w:p w14:paraId="0FFB30F3">
      <w:pPr>
        <w:numPr>
          <w:ilvl w:val="0"/>
          <w:numId w:val="0"/>
        </w:numPr>
        <w:spacing w:line="288" w:lineRule="auto"/>
        <w:ind w:firstLine="640" w:firstLineChars="200"/>
        <w:rPr>
          <w:rFonts w:hint="eastAsia" w:ascii="仿宋" w:hAnsi="仿宋" w:eastAsia="仿宋" w:cs="仿宋"/>
          <w:szCs w:val="32"/>
          <w:lang w:val="en-US" w:eastAsia="zh-CN"/>
        </w:rPr>
      </w:pPr>
      <w:r>
        <w:rPr>
          <w:rFonts w:hint="eastAsia" w:ascii="仿宋" w:hAnsi="仿宋" w:eastAsia="仿宋" w:cs="仿宋"/>
          <w:szCs w:val="32"/>
          <w:lang w:val="en-US" w:eastAsia="zh-CN"/>
        </w:rPr>
        <w:t>三是</w:t>
      </w:r>
      <w:r>
        <w:rPr>
          <w:rFonts w:hint="default" w:ascii="仿宋" w:hAnsi="仿宋" w:eastAsia="仿宋" w:cs="仿宋"/>
          <w:szCs w:val="32"/>
          <w:lang w:val="en-US" w:eastAsia="zh-CN"/>
        </w:rPr>
        <w:t>创新课程体系与教学方式</w:t>
      </w:r>
      <w:r>
        <w:rPr>
          <w:rFonts w:hint="eastAsia" w:ascii="仿宋" w:hAnsi="仿宋" w:eastAsia="仿宋" w:cs="仿宋"/>
          <w:szCs w:val="32"/>
          <w:lang w:val="en-US" w:eastAsia="zh-CN"/>
        </w:rPr>
        <w:t>。进行职业本科课程内容的重构，应包括需求—目标—内容—方法—实施—资源—评价—持续改进，重点开发产教融合课程、数字化课程，形成模块化课程。依托广西自贸区产业特色和行业前沿打造国贸职教本科品牌，构建具有“专业课程体系国际化、实践教学产业化、创新创业全程化”特色的职业本科课程体系，打造一批具有高阶性、创新性的线下、线上、混合式、虚拟仿真教学和社会实践一流课程，建设优质数字化教学资源，以新理念、新技术、新媒体创新课堂教学，强调实践教学、个性化教学和跨学科融合教学。</w:t>
      </w:r>
    </w:p>
    <w:p w14:paraId="53940F10">
      <w:pPr>
        <w:numPr>
          <w:ilvl w:val="0"/>
          <w:numId w:val="0"/>
        </w:numPr>
        <w:spacing w:line="288" w:lineRule="auto"/>
        <w:ind w:firstLine="640" w:firstLineChars="200"/>
        <w:rPr>
          <w:rFonts w:hint="default" w:ascii="仿宋" w:hAnsi="仿宋" w:eastAsia="仿宋" w:cs="仿宋"/>
          <w:szCs w:val="32"/>
          <w:lang w:val="en-US" w:eastAsia="zh-CN"/>
        </w:rPr>
      </w:pPr>
      <w:r>
        <w:rPr>
          <w:rFonts w:hint="eastAsia" w:ascii="仿宋" w:hAnsi="仿宋" w:eastAsia="仿宋" w:cs="仿宋"/>
          <w:szCs w:val="32"/>
          <w:lang w:val="en-US" w:eastAsia="zh-CN"/>
        </w:rPr>
        <w:t>四是</w:t>
      </w:r>
      <w:r>
        <w:rPr>
          <w:rFonts w:hint="default" w:ascii="仿宋" w:hAnsi="仿宋" w:eastAsia="仿宋" w:cs="仿宋"/>
          <w:szCs w:val="32"/>
          <w:lang w:val="en-US" w:eastAsia="zh-CN"/>
        </w:rPr>
        <w:t>提升教科研能力</w:t>
      </w:r>
      <w:r>
        <w:rPr>
          <w:rFonts w:hint="eastAsia" w:ascii="仿宋" w:hAnsi="仿宋" w:eastAsia="仿宋" w:cs="仿宋"/>
          <w:szCs w:val="32"/>
          <w:lang w:val="en-US" w:eastAsia="zh-CN"/>
        </w:rPr>
        <w:t>。一方面，要提升专业团队服务产业创新的发展能力，依托产教平台，联合开展国际贸易领域的技术开发，深入开展科研攻关，联合进行知识产权申报，横向纵向课题和教学改革研究；另一方面，要主动承接地方经济和社会改革重大专项课题，聚焦前沿经济热点问题，围绕通关便利化、对接高标准经贸规则、创新发展服务贸易、升级边境贸易等方面进行联合研究，为政府决策部门在促进高水平开放合作、中小企业国际化、投资便利化和构建跨境跨区域产业链供应链发展等方面提供咨询、科学决策和建言献策，全力为广西高水平开放高质量发展提供智力支持。</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36F2D3-B662-412A-99F3-013C6FC23DF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1C62A53-9DDE-42FF-89B8-5DE49D89F63C}"/>
  </w:font>
  <w:font w:name="仿宋_GB2312">
    <w:panose1 w:val="02010609030101010101"/>
    <w:charset w:val="86"/>
    <w:family w:val="modern"/>
    <w:pitch w:val="default"/>
    <w:sig w:usb0="00000001" w:usb1="080E0000" w:usb2="00000000" w:usb3="00000000" w:csb0="00040000" w:csb1="00000000"/>
    <w:embedRegular r:id="rId3" w:fontKey="{68F1AC44-7DB0-40C0-B0F9-60140DE77F6A}"/>
  </w:font>
  <w:font w:name="仿宋">
    <w:panose1 w:val="02010609060101010101"/>
    <w:charset w:val="86"/>
    <w:family w:val="modern"/>
    <w:pitch w:val="default"/>
    <w:sig w:usb0="800002BF" w:usb1="38CF7CFA" w:usb2="00000016" w:usb3="00000000" w:csb0="00040001" w:csb1="00000000"/>
    <w:embedRegular r:id="rId4" w:fontKey="{1F286BC4-88C9-451B-A580-70597FEC7AFC}"/>
  </w:font>
  <w:font w:name="微软雅黑">
    <w:panose1 w:val="020B0503020204020204"/>
    <w:charset w:val="86"/>
    <w:family w:val="auto"/>
    <w:pitch w:val="default"/>
    <w:sig w:usb0="80000287" w:usb1="2ACF3C50" w:usb2="00000016" w:usb3="00000000" w:csb0="0004001F" w:csb1="00000000"/>
    <w:embedRegular r:id="rId5" w:fontKey="{A95CCCC4-E80E-4A4D-A318-6B7E2749544D}"/>
  </w:font>
  <w:font w:name="楷体">
    <w:panose1 w:val="02010609060101010101"/>
    <w:charset w:val="86"/>
    <w:family w:val="modern"/>
    <w:pitch w:val="default"/>
    <w:sig w:usb0="800002BF" w:usb1="38CF7CFA" w:usb2="00000016" w:usb3="00000000" w:csb0="00040001" w:csb1="00000000"/>
    <w:embedRegular r:id="rId6" w:fontKey="{E2C4CA64-B492-47D2-86D0-E0C95A19E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AA39B">
    <w:pPr>
      <w:pStyle w:val="7"/>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271AE41B">
                <w:pPr>
                  <w:pStyle w:val="7"/>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AA36A3"/>
    <w:multiLevelType w:val="singleLevel"/>
    <w:tmpl w:val="E0AA36A3"/>
    <w:lvl w:ilvl="0" w:tentative="0">
      <w:start w:val="2"/>
      <w:numFmt w:val="chineseCounting"/>
      <w:suff w:val="nothing"/>
      <w:lvlText w:val="（%1）"/>
      <w:lvlJc w:val="left"/>
      <w:rPr>
        <w:rFonts w:hint="eastAsia"/>
      </w:rPr>
    </w:lvl>
  </w:abstractNum>
  <w:abstractNum w:abstractNumId="1">
    <w:nsid w:val="F8AD52A9"/>
    <w:multiLevelType w:val="singleLevel"/>
    <w:tmpl w:val="F8AD52A9"/>
    <w:lvl w:ilvl="0" w:tentative="0">
      <w:start w:val="2"/>
      <w:numFmt w:val="decimal"/>
      <w:suff w:val="nothing"/>
      <w:lvlText w:val="（%1）"/>
      <w:lvlJc w:val="left"/>
    </w:lvl>
  </w:abstractNum>
  <w:abstractNum w:abstractNumId="2">
    <w:nsid w:val="353B4BCE"/>
    <w:multiLevelType w:val="multilevel"/>
    <w:tmpl w:val="353B4BCE"/>
    <w:lvl w:ilvl="0" w:tentative="0">
      <w:start w:val="1"/>
      <w:numFmt w:val="japaneseCounting"/>
      <w:pStyle w:val="13"/>
      <w:lvlText w:val="（%1）"/>
      <w:lvlJc w:val="left"/>
      <w:pPr>
        <w:ind w:left="1647" w:hanging="1080"/>
      </w:pPr>
      <w:rPr>
        <w:rFonts w:hint="default"/>
        <w:lang w:val="en-U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
    <w:nsid w:val="5F8B5886"/>
    <w:multiLevelType w:val="singleLevel"/>
    <w:tmpl w:val="5F8B5886"/>
    <w:lvl w:ilvl="0" w:tentative="0">
      <w:start w:val="2"/>
      <w:numFmt w:val="chineseCounting"/>
      <w:suff w:val="nothing"/>
      <w:lvlText w:val="（%1）"/>
      <w:lvlJc w:val="left"/>
      <w:rPr>
        <w:rFonts w:hint="eastAsia"/>
      </w:rPr>
    </w:lvl>
  </w:abstractNum>
  <w:abstractNum w:abstractNumId="4">
    <w:nsid w:val="61EF729A"/>
    <w:multiLevelType w:val="singleLevel"/>
    <w:tmpl w:val="61EF729A"/>
    <w:lvl w:ilvl="0" w:tentative="0">
      <w:start w:val="2"/>
      <w:numFmt w:val="chineseCounting"/>
      <w:suff w:val="nothing"/>
      <w:lvlText w:val="（%1）"/>
      <w:lvlJc w:val="left"/>
      <w:rPr>
        <w:rFonts w:hint="eastAsia"/>
      </w:rPr>
    </w:lvl>
  </w:abstractNum>
  <w:abstractNum w:abstractNumId="5">
    <w:nsid w:val="731AE6A9"/>
    <w:multiLevelType w:val="singleLevel"/>
    <w:tmpl w:val="731AE6A9"/>
    <w:lvl w:ilvl="0" w:tentative="0">
      <w:start w:val="4"/>
      <w:numFmt w:val="decimal"/>
      <w:suff w:val="space"/>
      <w:lvlText w:val="%1."/>
      <w:lvlJc w:val="left"/>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UyNDkzZjU2YzVkOWNlNTc4Njg3Y2ViOTZkYThkYmIifQ=="/>
  </w:docVars>
  <w:rsids>
    <w:rsidRoot w:val="00DB07E8"/>
    <w:rsid w:val="00003075"/>
    <w:rsid w:val="00006DD0"/>
    <w:rsid w:val="00011247"/>
    <w:rsid w:val="00015292"/>
    <w:rsid w:val="00022B02"/>
    <w:rsid w:val="00027183"/>
    <w:rsid w:val="00032761"/>
    <w:rsid w:val="000343E6"/>
    <w:rsid w:val="000445E3"/>
    <w:rsid w:val="00046525"/>
    <w:rsid w:val="00052C5A"/>
    <w:rsid w:val="00052D7D"/>
    <w:rsid w:val="00066EBA"/>
    <w:rsid w:val="000802B6"/>
    <w:rsid w:val="00093FE2"/>
    <w:rsid w:val="00096C8F"/>
    <w:rsid w:val="000A533D"/>
    <w:rsid w:val="000A6BD8"/>
    <w:rsid w:val="000B3AEE"/>
    <w:rsid w:val="000C12AA"/>
    <w:rsid w:val="000C1BC7"/>
    <w:rsid w:val="000C4B7A"/>
    <w:rsid w:val="000D2B5A"/>
    <w:rsid w:val="000D6910"/>
    <w:rsid w:val="000F2D7E"/>
    <w:rsid w:val="00102723"/>
    <w:rsid w:val="00102DAB"/>
    <w:rsid w:val="001110BD"/>
    <w:rsid w:val="0012041F"/>
    <w:rsid w:val="0012070D"/>
    <w:rsid w:val="00160B69"/>
    <w:rsid w:val="001625C8"/>
    <w:rsid w:val="00164571"/>
    <w:rsid w:val="00165709"/>
    <w:rsid w:val="00180B6B"/>
    <w:rsid w:val="00181871"/>
    <w:rsid w:val="001851F3"/>
    <w:rsid w:val="00190178"/>
    <w:rsid w:val="00190A5B"/>
    <w:rsid w:val="00192DD0"/>
    <w:rsid w:val="001A1A84"/>
    <w:rsid w:val="001A4AC4"/>
    <w:rsid w:val="001A5C34"/>
    <w:rsid w:val="001B0CB1"/>
    <w:rsid w:val="001C077D"/>
    <w:rsid w:val="001C15CA"/>
    <w:rsid w:val="001C266B"/>
    <w:rsid w:val="001C7210"/>
    <w:rsid w:val="001D1076"/>
    <w:rsid w:val="001D355E"/>
    <w:rsid w:val="001E65EB"/>
    <w:rsid w:val="00207961"/>
    <w:rsid w:val="002140B0"/>
    <w:rsid w:val="00227882"/>
    <w:rsid w:val="0024240C"/>
    <w:rsid w:val="0025006E"/>
    <w:rsid w:val="002513FE"/>
    <w:rsid w:val="00260115"/>
    <w:rsid w:val="00260780"/>
    <w:rsid w:val="002615B9"/>
    <w:rsid w:val="00266E94"/>
    <w:rsid w:val="002724C8"/>
    <w:rsid w:val="00273271"/>
    <w:rsid w:val="0027560B"/>
    <w:rsid w:val="002A1F0A"/>
    <w:rsid w:val="002B6690"/>
    <w:rsid w:val="002C2FEA"/>
    <w:rsid w:val="002D13EE"/>
    <w:rsid w:val="002D33AA"/>
    <w:rsid w:val="002F20FB"/>
    <w:rsid w:val="002F4C22"/>
    <w:rsid w:val="00302538"/>
    <w:rsid w:val="00307910"/>
    <w:rsid w:val="003258BC"/>
    <w:rsid w:val="00331DA4"/>
    <w:rsid w:val="003429BC"/>
    <w:rsid w:val="00342DF3"/>
    <w:rsid w:val="00353C2D"/>
    <w:rsid w:val="003558DE"/>
    <w:rsid w:val="00393120"/>
    <w:rsid w:val="003961D1"/>
    <w:rsid w:val="003B44D6"/>
    <w:rsid w:val="003D1AB3"/>
    <w:rsid w:val="003D7546"/>
    <w:rsid w:val="003F1D26"/>
    <w:rsid w:val="003F78C9"/>
    <w:rsid w:val="00400D0D"/>
    <w:rsid w:val="004021EA"/>
    <w:rsid w:val="00402EBD"/>
    <w:rsid w:val="004055DA"/>
    <w:rsid w:val="00406981"/>
    <w:rsid w:val="00411A6C"/>
    <w:rsid w:val="004134C0"/>
    <w:rsid w:val="00434393"/>
    <w:rsid w:val="00437FC8"/>
    <w:rsid w:val="00442BAC"/>
    <w:rsid w:val="004528B0"/>
    <w:rsid w:val="00473858"/>
    <w:rsid w:val="004807DA"/>
    <w:rsid w:val="0048097C"/>
    <w:rsid w:val="004869BE"/>
    <w:rsid w:val="004929E5"/>
    <w:rsid w:val="004A0671"/>
    <w:rsid w:val="004B0C16"/>
    <w:rsid w:val="004B289F"/>
    <w:rsid w:val="004B347E"/>
    <w:rsid w:val="004C3410"/>
    <w:rsid w:val="004E0B04"/>
    <w:rsid w:val="004E1D5B"/>
    <w:rsid w:val="004F4BB6"/>
    <w:rsid w:val="004F5C1F"/>
    <w:rsid w:val="004F635C"/>
    <w:rsid w:val="005005F1"/>
    <w:rsid w:val="00511AE7"/>
    <w:rsid w:val="00517C61"/>
    <w:rsid w:val="00523B1E"/>
    <w:rsid w:val="0053063F"/>
    <w:rsid w:val="00537E2A"/>
    <w:rsid w:val="00560B5E"/>
    <w:rsid w:val="0056201B"/>
    <w:rsid w:val="0057413C"/>
    <w:rsid w:val="0057424E"/>
    <w:rsid w:val="005763E8"/>
    <w:rsid w:val="00584F4F"/>
    <w:rsid w:val="00586AB9"/>
    <w:rsid w:val="005A4980"/>
    <w:rsid w:val="005A6499"/>
    <w:rsid w:val="005A76F9"/>
    <w:rsid w:val="005B414B"/>
    <w:rsid w:val="005B4982"/>
    <w:rsid w:val="005B6E3D"/>
    <w:rsid w:val="005C19F6"/>
    <w:rsid w:val="005E172A"/>
    <w:rsid w:val="005E5953"/>
    <w:rsid w:val="00617E5F"/>
    <w:rsid w:val="006273D3"/>
    <w:rsid w:val="00632765"/>
    <w:rsid w:val="00637052"/>
    <w:rsid w:val="00637248"/>
    <w:rsid w:val="00644BA6"/>
    <w:rsid w:val="00660356"/>
    <w:rsid w:val="006661F2"/>
    <w:rsid w:val="0067012B"/>
    <w:rsid w:val="00670FF1"/>
    <w:rsid w:val="0067117E"/>
    <w:rsid w:val="0068619D"/>
    <w:rsid w:val="00690DC8"/>
    <w:rsid w:val="00693FBC"/>
    <w:rsid w:val="00696024"/>
    <w:rsid w:val="006A035B"/>
    <w:rsid w:val="006A47E6"/>
    <w:rsid w:val="006B7183"/>
    <w:rsid w:val="006D5A91"/>
    <w:rsid w:val="006D6C30"/>
    <w:rsid w:val="006F1350"/>
    <w:rsid w:val="006F1568"/>
    <w:rsid w:val="006F3097"/>
    <w:rsid w:val="006F60E6"/>
    <w:rsid w:val="006F7228"/>
    <w:rsid w:val="0070194E"/>
    <w:rsid w:val="00730E90"/>
    <w:rsid w:val="00734DB9"/>
    <w:rsid w:val="00737B39"/>
    <w:rsid w:val="007752FD"/>
    <w:rsid w:val="00776D90"/>
    <w:rsid w:val="00777E5E"/>
    <w:rsid w:val="0078269F"/>
    <w:rsid w:val="007854A6"/>
    <w:rsid w:val="00786CA3"/>
    <w:rsid w:val="007A22E5"/>
    <w:rsid w:val="007B3C77"/>
    <w:rsid w:val="007B4ACF"/>
    <w:rsid w:val="007D2727"/>
    <w:rsid w:val="007D31B0"/>
    <w:rsid w:val="007D6E22"/>
    <w:rsid w:val="007E33C5"/>
    <w:rsid w:val="007F5947"/>
    <w:rsid w:val="00803474"/>
    <w:rsid w:val="00813D3D"/>
    <w:rsid w:val="008202A0"/>
    <w:rsid w:val="00826D8B"/>
    <w:rsid w:val="0083320F"/>
    <w:rsid w:val="00837A74"/>
    <w:rsid w:val="00840239"/>
    <w:rsid w:val="008433C1"/>
    <w:rsid w:val="00845731"/>
    <w:rsid w:val="00847F89"/>
    <w:rsid w:val="00850F07"/>
    <w:rsid w:val="00851D4F"/>
    <w:rsid w:val="008612EB"/>
    <w:rsid w:val="00865C3E"/>
    <w:rsid w:val="008768A1"/>
    <w:rsid w:val="00877E76"/>
    <w:rsid w:val="0089041C"/>
    <w:rsid w:val="00890CB9"/>
    <w:rsid w:val="008929D9"/>
    <w:rsid w:val="008A2E78"/>
    <w:rsid w:val="008B1182"/>
    <w:rsid w:val="008D4AB2"/>
    <w:rsid w:val="008E31E6"/>
    <w:rsid w:val="008E6A34"/>
    <w:rsid w:val="008F5DA0"/>
    <w:rsid w:val="00910A6F"/>
    <w:rsid w:val="009135DE"/>
    <w:rsid w:val="00916716"/>
    <w:rsid w:val="00917F4E"/>
    <w:rsid w:val="0092308C"/>
    <w:rsid w:val="00925A56"/>
    <w:rsid w:val="00934E6B"/>
    <w:rsid w:val="009360E7"/>
    <w:rsid w:val="009371C0"/>
    <w:rsid w:val="009448D0"/>
    <w:rsid w:val="00944F33"/>
    <w:rsid w:val="00963CC4"/>
    <w:rsid w:val="0096428C"/>
    <w:rsid w:val="00966943"/>
    <w:rsid w:val="00984B38"/>
    <w:rsid w:val="009924AC"/>
    <w:rsid w:val="009A4ECE"/>
    <w:rsid w:val="009A6160"/>
    <w:rsid w:val="009A6CF8"/>
    <w:rsid w:val="009C7F81"/>
    <w:rsid w:val="009D06F5"/>
    <w:rsid w:val="009D730F"/>
    <w:rsid w:val="009E1D30"/>
    <w:rsid w:val="009E1DC2"/>
    <w:rsid w:val="00A03637"/>
    <w:rsid w:val="00A05442"/>
    <w:rsid w:val="00A44297"/>
    <w:rsid w:val="00A45FE8"/>
    <w:rsid w:val="00A4645E"/>
    <w:rsid w:val="00A5046C"/>
    <w:rsid w:val="00A5624C"/>
    <w:rsid w:val="00A74AF0"/>
    <w:rsid w:val="00A74F6B"/>
    <w:rsid w:val="00A752A8"/>
    <w:rsid w:val="00A8763F"/>
    <w:rsid w:val="00A91269"/>
    <w:rsid w:val="00AB1286"/>
    <w:rsid w:val="00AB6E79"/>
    <w:rsid w:val="00AD4001"/>
    <w:rsid w:val="00AE7542"/>
    <w:rsid w:val="00B00BD5"/>
    <w:rsid w:val="00B1232B"/>
    <w:rsid w:val="00B36F51"/>
    <w:rsid w:val="00B37104"/>
    <w:rsid w:val="00B54C42"/>
    <w:rsid w:val="00B56B3D"/>
    <w:rsid w:val="00B61204"/>
    <w:rsid w:val="00B740A9"/>
    <w:rsid w:val="00B82AF8"/>
    <w:rsid w:val="00BA1993"/>
    <w:rsid w:val="00BA2CD1"/>
    <w:rsid w:val="00BA5EEB"/>
    <w:rsid w:val="00BA65E8"/>
    <w:rsid w:val="00BB345B"/>
    <w:rsid w:val="00BB721F"/>
    <w:rsid w:val="00BC40C5"/>
    <w:rsid w:val="00BD3107"/>
    <w:rsid w:val="00BD4E1D"/>
    <w:rsid w:val="00BD7E48"/>
    <w:rsid w:val="00BF6BF0"/>
    <w:rsid w:val="00C03C0A"/>
    <w:rsid w:val="00C30835"/>
    <w:rsid w:val="00C3473D"/>
    <w:rsid w:val="00C40F36"/>
    <w:rsid w:val="00C5462F"/>
    <w:rsid w:val="00C5489D"/>
    <w:rsid w:val="00C57364"/>
    <w:rsid w:val="00C706E3"/>
    <w:rsid w:val="00C77244"/>
    <w:rsid w:val="00C83880"/>
    <w:rsid w:val="00CA6019"/>
    <w:rsid w:val="00CD5CCD"/>
    <w:rsid w:val="00CD6284"/>
    <w:rsid w:val="00CD72A6"/>
    <w:rsid w:val="00CD7AF1"/>
    <w:rsid w:val="00CE0CF5"/>
    <w:rsid w:val="00CF2F73"/>
    <w:rsid w:val="00D2096C"/>
    <w:rsid w:val="00D2098F"/>
    <w:rsid w:val="00D2272C"/>
    <w:rsid w:val="00D252F2"/>
    <w:rsid w:val="00D4428E"/>
    <w:rsid w:val="00D74D73"/>
    <w:rsid w:val="00D77810"/>
    <w:rsid w:val="00D836D0"/>
    <w:rsid w:val="00D84B32"/>
    <w:rsid w:val="00D8696D"/>
    <w:rsid w:val="00D91DE0"/>
    <w:rsid w:val="00D92A93"/>
    <w:rsid w:val="00DA5616"/>
    <w:rsid w:val="00DB07E8"/>
    <w:rsid w:val="00DC444E"/>
    <w:rsid w:val="00DD13D2"/>
    <w:rsid w:val="00DD3DF9"/>
    <w:rsid w:val="00DD491E"/>
    <w:rsid w:val="00E01AE9"/>
    <w:rsid w:val="00E04817"/>
    <w:rsid w:val="00E12DCA"/>
    <w:rsid w:val="00E37B79"/>
    <w:rsid w:val="00E44BAC"/>
    <w:rsid w:val="00E55670"/>
    <w:rsid w:val="00E56C53"/>
    <w:rsid w:val="00E62929"/>
    <w:rsid w:val="00E637DE"/>
    <w:rsid w:val="00E7147B"/>
    <w:rsid w:val="00E77DAA"/>
    <w:rsid w:val="00E80A87"/>
    <w:rsid w:val="00E81A6C"/>
    <w:rsid w:val="00E81F7C"/>
    <w:rsid w:val="00E86EB6"/>
    <w:rsid w:val="00EA0966"/>
    <w:rsid w:val="00EC0FC2"/>
    <w:rsid w:val="00EC234B"/>
    <w:rsid w:val="00ED31D8"/>
    <w:rsid w:val="00ED4B31"/>
    <w:rsid w:val="00ED5276"/>
    <w:rsid w:val="00EE107A"/>
    <w:rsid w:val="00EE109E"/>
    <w:rsid w:val="00EE393F"/>
    <w:rsid w:val="00EE54A0"/>
    <w:rsid w:val="00EF753A"/>
    <w:rsid w:val="00EF7A68"/>
    <w:rsid w:val="00F07820"/>
    <w:rsid w:val="00F35D91"/>
    <w:rsid w:val="00F4606A"/>
    <w:rsid w:val="00F503FE"/>
    <w:rsid w:val="00F5671F"/>
    <w:rsid w:val="00F57DAF"/>
    <w:rsid w:val="00F61BBB"/>
    <w:rsid w:val="00F802C7"/>
    <w:rsid w:val="00F943D7"/>
    <w:rsid w:val="00FB0F32"/>
    <w:rsid w:val="00FC2A6E"/>
    <w:rsid w:val="00FC6922"/>
    <w:rsid w:val="00FD186D"/>
    <w:rsid w:val="00FD64DD"/>
    <w:rsid w:val="00FE1258"/>
    <w:rsid w:val="00FF0070"/>
    <w:rsid w:val="00FF51B8"/>
    <w:rsid w:val="01CC2E2B"/>
    <w:rsid w:val="01FE30A1"/>
    <w:rsid w:val="020016E9"/>
    <w:rsid w:val="025D6FBE"/>
    <w:rsid w:val="02DD3C70"/>
    <w:rsid w:val="044A1613"/>
    <w:rsid w:val="05BF4D20"/>
    <w:rsid w:val="05C5289E"/>
    <w:rsid w:val="060F45F1"/>
    <w:rsid w:val="0661552A"/>
    <w:rsid w:val="09A46AFB"/>
    <w:rsid w:val="0AD97016"/>
    <w:rsid w:val="0C7D6E46"/>
    <w:rsid w:val="0D1B192B"/>
    <w:rsid w:val="0DB901D4"/>
    <w:rsid w:val="0DE4702D"/>
    <w:rsid w:val="0FFD0517"/>
    <w:rsid w:val="11E67E97"/>
    <w:rsid w:val="12AF5192"/>
    <w:rsid w:val="13860560"/>
    <w:rsid w:val="148562AE"/>
    <w:rsid w:val="14CF23FD"/>
    <w:rsid w:val="14EC79B3"/>
    <w:rsid w:val="15973F46"/>
    <w:rsid w:val="16C27AF6"/>
    <w:rsid w:val="177156D9"/>
    <w:rsid w:val="17DF6807"/>
    <w:rsid w:val="182D05B4"/>
    <w:rsid w:val="19EC0A79"/>
    <w:rsid w:val="19FB4B20"/>
    <w:rsid w:val="1AB11972"/>
    <w:rsid w:val="1C7D2A8F"/>
    <w:rsid w:val="1CE912A0"/>
    <w:rsid w:val="1D1A4127"/>
    <w:rsid w:val="1E7624FE"/>
    <w:rsid w:val="1F8B7B1A"/>
    <w:rsid w:val="22711B11"/>
    <w:rsid w:val="23335E0E"/>
    <w:rsid w:val="23531B69"/>
    <w:rsid w:val="246413B6"/>
    <w:rsid w:val="248942A7"/>
    <w:rsid w:val="24AA19FC"/>
    <w:rsid w:val="24D50CF1"/>
    <w:rsid w:val="25403747"/>
    <w:rsid w:val="257A32B4"/>
    <w:rsid w:val="271C1499"/>
    <w:rsid w:val="281E7ACE"/>
    <w:rsid w:val="284952E9"/>
    <w:rsid w:val="2898663D"/>
    <w:rsid w:val="2A0D3455"/>
    <w:rsid w:val="2A787E8C"/>
    <w:rsid w:val="2AC64397"/>
    <w:rsid w:val="2AF13087"/>
    <w:rsid w:val="2B085B29"/>
    <w:rsid w:val="2BF951BC"/>
    <w:rsid w:val="2C017145"/>
    <w:rsid w:val="2C6D5877"/>
    <w:rsid w:val="2E201B5D"/>
    <w:rsid w:val="2E3B2CCD"/>
    <w:rsid w:val="2EB1361E"/>
    <w:rsid w:val="325F5E35"/>
    <w:rsid w:val="33284960"/>
    <w:rsid w:val="338338DB"/>
    <w:rsid w:val="339F7F92"/>
    <w:rsid w:val="33E31C80"/>
    <w:rsid w:val="34AE542D"/>
    <w:rsid w:val="380825B0"/>
    <w:rsid w:val="392643E6"/>
    <w:rsid w:val="3A930F5A"/>
    <w:rsid w:val="3B405838"/>
    <w:rsid w:val="3BD916BD"/>
    <w:rsid w:val="3C596A61"/>
    <w:rsid w:val="3DC00A92"/>
    <w:rsid w:val="3DD90DB4"/>
    <w:rsid w:val="3E2C30EB"/>
    <w:rsid w:val="3FB07236"/>
    <w:rsid w:val="421518AC"/>
    <w:rsid w:val="43FB582E"/>
    <w:rsid w:val="444730EB"/>
    <w:rsid w:val="453C0985"/>
    <w:rsid w:val="460B0469"/>
    <w:rsid w:val="4A96248D"/>
    <w:rsid w:val="4BB82F57"/>
    <w:rsid w:val="4E9615D6"/>
    <w:rsid w:val="4F782168"/>
    <w:rsid w:val="4FE40227"/>
    <w:rsid w:val="4FFA308B"/>
    <w:rsid w:val="515F2846"/>
    <w:rsid w:val="51E03FCB"/>
    <w:rsid w:val="52C421AB"/>
    <w:rsid w:val="531864F7"/>
    <w:rsid w:val="55464580"/>
    <w:rsid w:val="55D17351"/>
    <w:rsid w:val="565635AF"/>
    <w:rsid w:val="5D2A0547"/>
    <w:rsid w:val="5FB87B84"/>
    <w:rsid w:val="5FFA3763"/>
    <w:rsid w:val="60231D80"/>
    <w:rsid w:val="61E533EA"/>
    <w:rsid w:val="622D6B06"/>
    <w:rsid w:val="63C03735"/>
    <w:rsid w:val="645C1FF4"/>
    <w:rsid w:val="64632AA7"/>
    <w:rsid w:val="64D23D14"/>
    <w:rsid w:val="67B4198B"/>
    <w:rsid w:val="6B6C75BD"/>
    <w:rsid w:val="6CE91FCF"/>
    <w:rsid w:val="6E0472B5"/>
    <w:rsid w:val="6EAB6ADD"/>
    <w:rsid w:val="6EFFDCC9"/>
    <w:rsid w:val="7062060C"/>
    <w:rsid w:val="709B7E5F"/>
    <w:rsid w:val="711B3A27"/>
    <w:rsid w:val="7395766C"/>
    <w:rsid w:val="753A5544"/>
    <w:rsid w:val="767D488B"/>
    <w:rsid w:val="781D6B15"/>
    <w:rsid w:val="786C5EA3"/>
    <w:rsid w:val="7E316E1E"/>
    <w:rsid w:val="7F875E0F"/>
    <w:rsid w:val="7FB2623C"/>
    <w:rsid w:val="AFD5422D"/>
    <w:rsid w:val="F8F39292"/>
    <w:rsid w:val="FF4D8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qFormat/>
    <w:uiPriority w:val="9"/>
    <w:pPr>
      <w:keepNext/>
      <w:keepLines/>
      <w:spacing w:before="0" w:after="0" w:line="408" w:lineRule="auto"/>
      <w:outlineLvl w:val="2"/>
    </w:pPr>
    <w:rPr>
      <w:b/>
      <w:bCs/>
      <w:color w:val="1A1A1A"/>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firstLineChars="200"/>
    </w:pPr>
    <w:rPr>
      <w:rFonts w:eastAsia="宋体"/>
      <w:kern w:val="0"/>
      <w:sz w:val="20"/>
    </w:rPr>
  </w:style>
  <w:style w:type="paragraph" w:styleId="5">
    <w:name w:val="annotation text"/>
    <w:basedOn w:val="1"/>
    <w:semiHidden/>
    <w:unhideWhenUsed/>
    <w:qFormat/>
    <w:uiPriority w:val="99"/>
    <w:pPr>
      <w:jc w:val="left"/>
    </w:pPr>
  </w:style>
  <w:style w:type="paragraph" w:styleId="6">
    <w:name w:val="Balloon Text"/>
    <w:basedOn w:val="1"/>
    <w:link w:val="17"/>
    <w:semiHidden/>
    <w:unhideWhenUsed/>
    <w:qFormat/>
    <w:uiPriority w:val="99"/>
    <w:rPr>
      <w:sz w:val="18"/>
      <w:szCs w:val="18"/>
    </w:rPr>
  </w:style>
  <w:style w:type="paragraph" w:styleId="7">
    <w:name w:val="footer"/>
    <w:basedOn w:val="1"/>
    <w:semiHidden/>
    <w:unhideWhenUsed/>
    <w:uiPriority w:val="99"/>
    <w:pPr>
      <w:tabs>
        <w:tab w:val="center" w:pos="4153"/>
        <w:tab w:val="right" w:pos="8306"/>
      </w:tabs>
      <w:snapToGrid w:val="0"/>
      <w:jc w:val="left"/>
    </w:pPr>
    <w:rPr>
      <w:sz w:val="18"/>
    </w:rPr>
  </w:style>
  <w:style w:type="paragraph" w:styleId="8">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
    <w:name w:val="标题二"/>
    <w:basedOn w:val="14"/>
    <w:qFormat/>
    <w:uiPriority w:val="0"/>
    <w:pPr>
      <w:numPr>
        <w:ilvl w:val="0"/>
        <w:numId w:val="1"/>
      </w:numPr>
      <w:ind w:firstLine="0" w:firstLineChars="0"/>
    </w:pPr>
    <w:rPr>
      <w:bCs/>
      <w:sz w:val="30"/>
      <w:szCs w:val="30"/>
    </w:rPr>
  </w:style>
  <w:style w:type="paragraph" w:customStyle="1" w:styleId="14">
    <w:name w:val="中等深浅网格 1 - 强调文字颜色 21"/>
    <w:basedOn w:val="1"/>
    <w:qFormat/>
    <w:uiPriority w:val="72"/>
    <w:pPr>
      <w:ind w:firstLine="420" w:firstLineChars="200"/>
    </w:pPr>
  </w:style>
  <w:style w:type="paragraph" w:customStyle="1" w:styleId="15">
    <w:name w:val="正文1"/>
    <w:basedOn w:val="16"/>
    <w:qFormat/>
    <w:uiPriority w:val="0"/>
    <w:pPr>
      <w:ind w:left="142" w:firstLine="423" w:firstLineChars="141"/>
      <w:jc w:val="left"/>
    </w:pPr>
    <w:rPr>
      <w:rFonts w:ascii="仿宋" w:hAnsi="仿宋" w:eastAsia="仿宋"/>
      <w:bCs/>
      <w:sz w:val="30"/>
      <w:szCs w:val="30"/>
    </w:rPr>
  </w:style>
  <w:style w:type="paragraph" w:styleId="16">
    <w:name w:val="List Paragraph"/>
    <w:basedOn w:val="1"/>
    <w:qFormat/>
    <w:uiPriority w:val="34"/>
    <w:pPr>
      <w:ind w:firstLine="420" w:firstLineChars="200"/>
    </w:pPr>
  </w:style>
  <w:style w:type="character" w:customStyle="1" w:styleId="17">
    <w:name w:val="批注框文本 Char"/>
    <w:basedOn w:val="12"/>
    <w:link w:val="6"/>
    <w:semiHidden/>
    <w:qFormat/>
    <w:uiPriority w:val="99"/>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5046</Words>
  <Characters>5399</Characters>
  <Lines>3</Lines>
  <Paragraphs>1</Paragraphs>
  <TotalTime>57</TotalTime>
  <ScaleCrop>false</ScaleCrop>
  <LinksUpToDate>false</LinksUpToDate>
  <CharactersWithSpaces>5441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2021-08-10T11:22:00Z</dcterms:created>
  <dc:creator>王国川</dc:creator>
  <cp:lastModifiedBy>东西南北</cp:lastModifiedBy>
  <dcterms:modified xsi:type="dcterms:W3CDTF">2025-07-11T08:52:49Z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E62217C0FD894E90B87C1779E172087D</vt:lpwstr>
  </property>
  <property fmtid="{D5CDD505-2E9C-101B-9397-08002B2CF9AE}" pid="4" name="KSOTemplateDocerSaveRecord">
    <vt:lpwstr>eyJoZGlkIjoiMzEwNTM5NzYwMDRjMzkwZTVkZjY2ODkwMGIxNGU0OTUiLCJ1c2VySWQiOiIzNzY1MjQzOTkifQ==</vt:lpwstr>
  </property>
</Properties>
</file>